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水路运输安全管理专业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一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bookmarkStart w:id="0" w:name="_Toc393236437"/>
      <w:bookmarkStart w:id="1" w:name="_Toc396497526"/>
      <w:bookmarkStart w:id="2" w:name="_Toc396497634"/>
      <w:bookmarkStart w:id="3" w:name="_Toc396497324"/>
      <w:bookmarkStart w:id="4" w:name="_Toc396501700"/>
      <w:r>
        <w:rPr>
          <w:rFonts w:hint="eastAsia" w:ascii="Times New Roman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501701"/>
      <w:bookmarkStart w:id="6" w:name="_Toc396497527"/>
      <w:bookmarkStart w:id="7" w:name="_Toc393236438"/>
      <w:bookmarkStart w:id="8" w:name="_Toc396497325"/>
      <w:bookmarkStart w:id="9" w:name="_Toc39649763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 xml:space="preserve">水路运输安全管理   专业代码 </w:t>
      </w:r>
      <w:r>
        <w:rPr>
          <w:rFonts w:ascii="Times New Roman"/>
          <w:sz w:val="28"/>
          <w:szCs w:val="28"/>
        </w:rPr>
        <w:t>500305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本专业培养德、智、体、美全面发展，具有良好职业道德和人文素养，掌握航运管理、港口管理、船舶、海事业务基本知识与相关法规，具有现代港口、航运和货代业务处理、企业信息化应用、英语交流与阅读能力，从事船舶与船员管理、船舶保险理赔、货代海运操作、航运市场营销等工作的高素质技术技能人才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tbl>
      <w:tblPr>
        <w:tblStyle w:val="13"/>
        <w:tblW w:w="9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66"/>
        <w:gridCol w:w="1271"/>
        <w:gridCol w:w="990"/>
        <w:gridCol w:w="1472"/>
        <w:gridCol w:w="1403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专业名称</w:t>
            </w:r>
          </w:p>
          <w:p>
            <w:pPr>
              <w:pStyle w:val="108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所属专业大类（代码）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所属专业类</w:t>
            </w:r>
          </w:p>
          <w:p>
            <w:pPr>
              <w:pStyle w:val="108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对应行业</w:t>
            </w:r>
          </w:p>
          <w:p>
            <w:pPr>
              <w:pStyle w:val="108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主要职业类别</w:t>
            </w:r>
          </w:p>
          <w:p>
            <w:pPr>
              <w:pStyle w:val="108"/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主要岗位群或技术领域举例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职业资格或职业技能等级证书举例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5" w:type="dxa"/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水路运输安全管理</w:t>
            </w:r>
          </w:p>
          <w:p>
            <w:pPr>
              <w:pStyle w:val="108"/>
            </w:pPr>
            <w:r>
              <w:rPr>
                <w:rFonts w:hint="eastAsia"/>
              </w:rPr>
              <w:t>（5</w:t>
            </w:r>
            <w:r>
              <w:t>00305</w:t>
            </w:r>
            <w:r>
              <w:rPr>
                <w:rFonts w:hint="eastAsia"/>
              </w:rPr>
              <w:t>）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交通运输大类</w:t>
            </w:r>
          </w:p>
          <w:p>
            <w:pPr>
              <w:pStyle w:val="108"/>
            </w:pPr>
            <w:r>
              <w:rPr>
                <w:rFonts w:hint="eastAsia"/>
              </w:rPr>
              <w:t>（50）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水上运输类（5003）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水上运输辅助活动（5</w:t>
            </w:r>
            <w:r>
              <w:t>53</w:t>
            </w:r>
            <w:r>
              <w:rPr>
                <w:rFonts w:hint="eastAsia"/>
              </w:rPr>
              <w:t>）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船舶业务员</w:t>
            </w:r>
          </w:p>
          <w:p>
            <w:pPr>
              <w:pStyle w:val="108"/>
            </w:pPr>
            <w:r>
              <w:rPr>
                <w:rFonts w:hint="eastAsia"/>
              </w:rPr>
              <w:t>（4</w:t>
            </w:r>
            <w:r>
              <w:t>-02-03-02</w:t>
            </w:r>
            <w:r>
              <w:rPr>
                <w:rFonts w:hint="eastAsia"/>
              </w:rPr>
              <w:t>）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both"/>
            </w:pPr>
            <w:r>
              <w:rPr>
                <w:rFonts w:hint="eastAsia"/>
              </w:rPr>
              <w:t>水路运输服务、船舶安全管理、港口安全管理、航运经纪等岗位群。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</w:pPr>
            <w:r>
              <w:rPr>
                <w:rFonts w:hint="eastAsia"/>
              </w:rPr>
              <w:t>基本安全培训合格证书</w:t>
            </w:r>
          </w:p>
          <w:p>
            <w:pPr>
              <w:pStyle w:val="108"/>
            </w:pPr>
            <w:r>
              <w:rPr>
                <w:rFonts w:hint="eastAsia"/>
              </w:rPr>
              <w:t>港口理货</w:t>
            </w:r>
          </w:p>
        </w:tc>
      </w:tr>
    </w:tbl>
    <w:p/>
    <w:p>
      <w:pPr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（四）专业核心课程</w:t>
      </w:r>
    </w:p>
    <w:p>
      <w:pPr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船舶安全管理、管理学、人力资源管理、国际航运管理、交通安全工程、海事法规、国际航运英语</w:t>
      </w:r>
    </w:p>
    <w:p>
      <w:pPr>
        <w:widowControl/>
        <w:jc w:val="left"/>
        <w:textAlignment w:val="bottom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（五）毕业资格条件</w:t>
      </w:r>
    </w:p>
    <w:p>
      <w:pPr>
        <w:ind w:firstLine="560" w:firstLineChars="200"/>
        <w:rPr>
          <w:rFonts w:hint="eastAsia" w:ascii="Times New Roman"/>
          <w:sz w:val="28"/>
          <w:szCs w:val="28"/>
        </w:rPr>
      </w:pPr>
      <w:bookmarkStart w:id="10" w:name="_Toc22929"/>
      <w:bookmarkStart w:id="11" w:name="_Toc396497636"/>
      <w:bookmarkStart w:id="12" w:name="_Toc396501702"/>
      <w:bookmarkStart w:id="13" w:name="_Toc396497528"/>
      <w:bookmarkStart w:id="14" w:name="_Toc393236439"/>
      <w:bookmarkStart w:id="15" w:name="_Toc396497326"/>
      <w:r>
        <w:rPr>
          <w:rFonts w:hint="eastAsia" w:ascii="Times New Roman"/>
          <w:sz w:val="28"/>
          <w:szCs w:val="28"/>
          <w:lang w:val="en-US" w:eastAsia="zh-CN"/>
        </w:rPr>
        <w:t>1.</w:t>
      </w:r>
      <w:r>
        <w:rPr>
          <w:rFonts w:hint="eastAsia" w:ascii="Times New Roman"/>
          <w:sz w:val="28"/>
          <w:szCs w:val="28"/>
        </w:rPr>
        <w:t>毕业学分要求</w:t>
      </w:r>
      <w:bookmarkEnd w:id="10"/>
    </w:p>
    <w:p>
      <w:pPr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 xml:space="preserve">为保证学生素质的全面提升，学生毕业共须修满148.5学分，其中通识必修课应修满37学分，通识限选课修满7学分, 通识任选课修满4学分；专业必修课修满75学分，专业限选课至少修满8.5学分；素质拓展与社会实践课程修满8学分，个性拓展限选课修满9学分。各类课程学分可根据《江苏海院学分积累、转换和认定办法》予以认定。 </w:t>
      </w:r>
    </w:p>
    <w:p>
      <w:pPr>
        <w:pStyle w:val="3"/>
        <w:spacing w:before="156" w:after="156"/>
        <w:rPr>
          <w:rFonts w:ascii="Times New Roman" w:hAnsi="Calibri" w:eastAsia="宋体"/>
          <w:color w:val="auto"/>
        </w:rPr>
      </w:pPr>
      <w:bookmarkStart w:id="16" w:name="_Toc180"/>
      <w:r>
        <w:rPr>
          <w:rFonts w:hint="eastAsia" w:ascii="Times New Roman" w:hAnsi="Calibri" w:eastAsia="宋体"/>
          <w:color w:val="auto"/>
          <w:lang w:val="en-US" w:eastAsia="zh-CN"/>
        </w:rPr>
        <w:t>2.</w:t>
      </w:r>
      <w:r>
        <w:rPr>
          <w:rFonts w:hint="eastAsia" w:ascii="Times New Roman" w:hAnsi="Calibri" w:eastAsia="宋体"/>
          <w:color w:val="auto"/>
        </w:rPr>
        <w:t>计算机证书要求</w:t>
      </w:r>
      <w:bookmarkEnd w:id="16"/>
    </w:p>
    <w:p>
      <w:pPr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原则上不对计算机证书做毕业资格要求。为鼓励学生考取计算机证书，信息技术类课程实现课证融通，即学生考取全国计算机ATA证书或江苏省计算机等级考试一级证书可申请信息技术类课程免修，直接置换对应学分。</w:t>
      </w:r>
    </w:p>
    <w:p>
      <w:pPr>
        <w:pStyle w:val="3"/>
        <w:spacing w:before="156" w:after="156"/>
        <w:rPr>
          <w:rFonts w:ascii="Times New Roman" w:hAnsi="Calibri" w:eastAsia="宋体"/>
          <w:color w:val="auto"/>
        </w:rPr>
      </w:pPr>
      <w:bookmarkStart w:id="17" w:name="_Toc1186"/>
      <w:r>
        <w:rPr>
          <w:rFonts w:hint="eastAsia" w:ascii="Times New Roman" w:hAnsi="Calibri" w:eastAsia="宋体"/>
          <w:color w:val="auto"/>
          <w:lang w:val="en-US" w:eastAsia="zh-CN"/>
        </w:rPr>
        <w:t>3.</w:t>
      </w:r>
      <w:r>
        <w:rPr>
          <w:rFonts w:hint="eastAsia" w:ascii="Times New Roman" w:hAnsi="Calibri" w:eastAsia="宋体"/>
          <w:color w:val="auto"/>
        </w:rPr>
        <w:t>外语等级考试要求</w:t>
      </w:r>
      <w:bookmarkEnd w:id="17"/>
    </w:p>
    <w:p>
      <w:pPr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应获得高校英语应用能力B级证书或A级50分及以上成绩，对标准学制内未能取得规定外语等级考试要求学生，可以在标准学制后、弹性学制内申请参加学校组织的英语应用能力水平考试，合格后方可毕业。为鼓励学生考取更高等级英语证书，对考取比毕业要求等级高，且至少为高校英语应用能力A级证书或口语证书的学生，可以用证书置换高职英语课程2个学期学分，成绩认定为85分（A级或口语）、90分（四级）或95分（六级），也可申请课程免修。</w:t>
      </w:r>
    </w:p>
    <w:p>
      <w:pPr>
        <w:pStyle w:val="3"/>
        <w:spacing w:before="156" w:after="156"/>
        <w:rPr>
          <w:rFonts w:ascii="Times New Roman" w:hAnsi="Calibri" w:eastAsia="宋体"/>
          <w:color w:val="auto"/>
        </w:rPr>
      </w:pPr>
      <w:bookmarkStart w:id="18" w:name="_Toc30529"/>
      <w:r>
        <w:rPr>
          <w:rFonts w:hint="eastAsia" w:ascii="Times New Roman" w:hAnsi="Calibri" w:eastAsia="宋体"/>
          <w:color w:val="auto"/>
          <w:lang w:val="en-US" w:eastAsia="zh-CN"/>
        </w:rPr>
        <w:t>4.</w:t>
      </w:r>
      <w:r>
        <w:rPr>
          <w:rFonts w:hint="eastAsia" w:ascii="Times New Roman" w:hAnsi="Calibri" w:eastAsia="宋体"/>
          <w:color w:val="auto"/>
        </w:rPr>
        <w:t>职业技能或职业资格证书要求</w:t>
      </w:r>
      <w:bookmarkEnd w:id="18"/>
    </w:p>
    <w:p>
      <w:pPr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学生必须取得基本安全证书，如考取港口理货证书职业资格证书,学生可申请置换《港口调度与安全管理》课程的3.5学分。</w:t>
      </w:r>
    </w:p>
    <w:p>
      <w:pPr>
        <w:pStyle w:val="3"/>
        <w:spacing w:before="156" w:after="156"/>
        <w:rPr>
          <w:rFonts w:ascii="Times New Roman" w:hAnsi="Calibri" w:eastAsia="宋体"/>
          <w:color w:val="auto"/>
        </w:rPr>
      </w:pPr>
      <w:bookmarkStart w:id="19" w:name="_Toc9435"/>
      <w:r>
        <w:rPr>
          <w:rFonts w:hint="eastAsia" w:ascii="Times New Roman" w:hAnsi="Calibri" w:eastAsia="宋体"/>
          <w:color w:val="auto"/>
          <w:lang w:val="en-US" w:eastAsia="zh-CN"/>
        </w:rPr>
        <w:t>5.</w:t>
      </w:r>
      <w:r>
        <w:rPr>
          <w:rFonts w:hint="eastAsia" w:ascii="Times New Roman" w:hAnsi="Calibri" w:eastAsia="宋体"/>
          <w:color w:val="auto"/>
        </w:rPr>
        <w:t>学生思想品德考核要求</w:t>
      </w:r>
      <w:bookmarkEnd w:id="19"/>
    </w:p>
    <w:p>
      <w:pPr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学生毕业前思想品德考核必须为合格以上，由学生工作处负责考核、鉴定。</w:t>
      </w:r>
    </w:p>
    <w:p>
      <w:pPr>
        <w:pStyle w:val="3"/>
        <w:spacing w:before="156" w:after="156"/>
        <w:rPr>
          <w:rFonts w:ascii="Times New Roman" w:hAnsi="Calibri" w:eastAsia="宋体"/>
          <w:color w:val="auto"/>
        </w:rPr>
      </w:pPr>
      <w:bookmarkStart w:id="20" w:name="_Toc18842"/>
      <w:r>
        <w:rPr>
          <w:rFonts w:hint="eastAsia" w:ascii="Times New Roman" w:hAnsi="Calibri" w:eastAsia="宋体"/>
          <w:color w:val="auto"/>
          <w:lang w:val="en-US" w:eastAsia="zh-CN"/>
        </w:rPr>
        <w:t>6.</w:t>
      </w:r>
      <w:r>
        <w:rPr>
          <w:rFonts w:hint="eastAsia" w:ascii="Times New Roman" w:hAnsi="Calibri" w:eastAsia="宋体"/>
          <w:color w:val="auto"/>
        </w:rPr>
        <w:t>体制健康测试要求</w:t>
      </w:r>
      <w:bookmarkEnd w:id="20"/>
    </w:p>
    <w:p>
      <w:pPr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学生体制健康测试严格执行“国家学生体质健康标准”，毕业前体制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widowControl/>
        <w:jc w:val="left"/>
        <w:textAlignment w:val="bottom"/>
        <w:rPr>
          <w:rFonts w:ascii="微软雅黑" w:hAnsi="微软雅黑" w:eastAsia="微软雅黑"/>
          <w:b/>
          <w:sz w:val="28"/>
          <w:szCs w:val="28"/>
        </w:rPr>
      </w:pPr>
      <w:bookmarkStart w:id="21" w:name="_GoBack"/>
      <w:bookmarkEnd w:id="21"/>
      <w:r>
        <w:rPr>
          <w:rFonts w:ascii="微软雅黑" w:hAnsi="微软雅黑" w:eastAsia="微软雅黑"/>
          <w:b/>
          <w:sz w:val="28"/>
          <w:szCs w:val="28"/>
        </w:rPr>
        <w:t>（一）</w:t>
      </w:r>
      <w:r>
        <w:rPr>
          <w:rFonts w:hint="eastAsia" w:ascii="微软雅黑" w:hAnsi="微软雅黑" w:eastAsia="微软雅黑"/>
          <w:b/>
          <w:sz w:val="28"/>
          <w:szCs w:val="28"/>
        </w:rPr>
        <w:t xml:space="preserve"> 接受对象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符合《江苏海事职业技术学院学生学籍管理办法》中转专业规定的相关学生</w:t>
      </w:r>
      <w:r>
        <w:rPr>
          <w:rFonts w:hint="eastAsia" w:ascii="Times New Roman"/>
          <w:sz w:val="28"/>
          <w:szCs w:val="28"/>
        </w:rPr>
        <w:t>。申请转入</w:t>
      </w:r>
      <w:r>
        <w:rPr>
          <w:rFonts w:ascii="Times New Roman"/>
          <w:sz w:val="28"/>
          <w:szCs w:val="28"/>
        </w:rPr>
        <w:t>学</w:t>
      </w:r>
      <w:r>
        <w:rPr>
          <w:rFonts w:hint="eastAsia" w:ascii="Times New Roman"/>
          <w:sz w:val="28"/>
          <w:szCs w:val="28"/>
        </w:rPr>
        <w:t>生不得有</w:t>
      </w:r>
      <w:r>
        <w:rPr>
          <w:rFonts w:ascii="Times New Roman"/>
          <w:sz w:val="28"/>
          <w:szCs w:val="28"/>
        </w:rPr>
        <w:t>《普通高等学校招生体检工作指导意见》</w:t>
      </w:r>
      <w:r>
        <w:rPr>
          <w:rFonts w:hint="eastAsia" w:ascii="Times New Roman"/>
          <w:sz w:val="28"/>
          <w:szCs w:val="28"/>
        </w:rPr>
        <w:t>列明的可以不予录取的</w:t>
      </w:r>
      <w:r>
        <w:rPr>
          <w:rFonts w:ascii="Times New Roman"/>
          <w:sz w:val="28"/>
          <w:szCs w:val="28"/>
        </w:rPr>
        <w:t>疾病</w:t>
      </w:r>
      <w:r>
        <w:rPr>
          <w:rFonts w:hint="eastAsia" w:ascii="Times New Roman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二</w:t>
      </w:r>
      <w:r>
        <w:rPr>
          <w:rFonts w:ascii="微软雅黑" w:hAnsi="微软雅黑" w:eastAsia="微软雅黑"/>
          <w:b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sz w:val="28"/>
          <w:szCs w:val="28"/>
        </w:rPr>
        <w:t>遴选方案</w:t>
      </w:r>
    </w:p>
    <w:bookmarkEnd w:id="11"/>
    <w:bookmarkEnd w:id="12"/>
    <w:bookmarkEnd w:id="13"/>
    <w:bookmarkEnd w:id="14"/>
    <w:bookmarkEnd w:id="15"/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1.</w:t>
      </w:r>
      <w:r>
        <w:rPr>
          <w:rFonts w:hint="eastAsia" w:ascii="Times New Roman"/>
          <w:sz w:val="28"/>
          <w:szCs w:val="28"/>
          <w:lang w:val="en-US" w:eastAsia="zh-CN"/>
        </w:rPr>
        <w:t>符合报名条件的学生</w:t>
      </w:r>
      <w:r>
        <w:rPr>
          <w:rFonts w:hint="eastAsia" w:ascii="Times New Roman"/>
          <w:sz w:val="28"/>
          <w:szCs w:val="28"/>
        </w:rPr>
        <w:t>根据平均学分绩点由高到低依次录取；</w:t>
      </w:r>
      <w:r>
        <w:rPr>
          <w:rFonts w:ascii="Times New Roman"/>
          <w:sz w:val="28"/>
          <w:szCs w:val="28"/>
        </w:rPr>
        <w:t>平均学分绩点相同</w:t>
      </w:r>
      <w:r>
        <w:rPr>
          <w:rFonts w:hint="eastAsia" w:ascii="Times New Roman"/>
          <w:sz w:val="28"/>
          <w:szCs w:val="28"/>
        </w:rPr>
        <w:t>时，按班级综合排名先后顺序</w:t>
      </w:r>
      <w:r>
        <w:rPr>
          <w:rFonts w:ascii="Times New Roman"/>
          <w:sz w:val="28"/>
          <w:szCs w:val="28"/>
        </w:rPr>
        <w:t>录取</w:t>
      </w:r>
      <w:r>
        <w:rPr>
          <w:rFonts w:hint="eastAsia" w:ascii="Times New Roman"/>
          <w:sz w:val="28"/>
          <w:szCs w:val="28"/>
        </w:rPr>
        <w:t>。</w:t>
      </w:r>
    </w:p>
    <w:p>
      <w:pPr>
        <w:adjustRightInd w:val="0"/>
        <w:snapToGrid w:val="0"/>
        <w:spacing w:line="360" w:lineRule="auto"/>
        <w:ind w:firstLine="570"/>
        <w:rPr>
          <w:rFonts w:hint="eastAsia"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2.按第一条规定程序录取名单出来后，</w:t>
      </w:r>
      <w:r>
        <w:rPr>
          <w:rFonts w:hint="eastAsia" w:ascii="Times New Roman"/>
          <w:sz w:val="28"/>
          <w:szCs w:val="28"/>
          <w:lang w:val="en-US" w:eastAsia="zh-CN"/>
        </w:rPr>
        <w:t>组织面试，综合考虑</w:t>
      </w:r>
      <w:r>
        <w:rPr>
          <w:rFonts w:hint="eastAsia" w:ascii="Times New Roman"/>
          <w:sz w:val="28"/>
          <w:szCs w:val="28"/>
        </w:rPr>
        <w:t>确定最终录取名单。面试具体程序和时间由航海技术学院安排，不来参加面试的学生视为放弃本次转专业机会。</w:t>
      </w:r>
    </w:p>
    <w:p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VmZTViMjUzMTFhMjU2Zjc5MDMwZTM1NTM1YjcwNWM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DBF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877C9"/>
    <w:rsid w:val="0009157F"/>
    <w:rsid w:val="000918CB"/>
    <w:rsid w:val="000956F1"/>
    <w:rsid w:val="000A00CF"/>
    <w:rsid w:val="000A0EB6"/>
    <w:rsid w:val="000A19B1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04CB"/>
    <w:rsid w:val="00112D75"/>
    <w:rsid w:val="00114BF6"/>
    <w:rsid w:val="00120749"/>
    <w:rsid w:val="0012179F"/>
    <w:rsid w:val="001219A1"/>
    <w:rsid w:val="00154E05"/>
    <w:rsid w:val="00160373"/>
    <w:rsid w:val="00160624"/>
    <w:rsid w:val="00163CAB"/>
    <w:rsid w:val="00164FE4"/>
    <w:rsid w:val="00175F7A"/>
    <w:rsid w:val="00176F3A"/>
    <w:rsid w:val="00182CB1"/>
    <w:rsid w:val="00183670"/>
    <w:rsid w:val="001856F9"/>
    <w:rsid w:val="00190B98"/>
    <w:rsid w:val="00191661"/>
    <w:rsid w:val="00191FF6"/>
    <w:rsid w:val="0019454A"/>
    <w:rsid w:val="001A3421"/>
    <w:rsid w:val="001A7A20"/>
    <w:rsid w:val="001B1D3B"/>
    <w:rsid w:val="001B644F"/>
    <w:rsid w:val="001B6CDB"/>
    <w:rsid w:val="001C0A25"/>
    <w:rsid w:val="001C1FF1"/>
    <w:rsid w:val="001C2B09"/>
    <w:rsid w:val="001D0185"/>
    <w:rsid w:val="001D1B72"/>
    <w:rsid w:val="001D277B"/>
    <w:rsid w:val="001D34B8"/>
    <w:rsid w:val="001E0F04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11C1"/>
    <w:rsid w:val="002267CC"/>
    <w:rsid w:val="002336A9"/>
    <w:rsid w:val="002426E9"/>
    <w:rsid w:val="00244444"/>
    <w:rsid w:val="00250B53"/>
    <w:rsid w:val="002737B8"/>
    <w:rsid w:val="0028070B"/>
    <w:rsid w:val="00296891"/>
    <w:rsid w:val="002A7A0E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65A27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019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3D86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1E21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E613F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57B73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0A07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245E0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687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55B8"/>
    <w:rsid w:val="0085601D"/>
    <w:rsid w:val="008639EC"/>
    <w:rsid w:val="0086522F"/>
    <w:rsid w:val="008702D0"/>
    <w:rsid w:val="00870CD5"/>
    <w:rsid w:val="008738A3"/>
    <w:rsid w:val="0087621F"/>
    <w:rsid w:val="008772A6"/>
    <w:rsid w:val="0088236D"/>
    <w:rsid w:val="00885D97"/>
    <w:rsid w:val="008878F0"/>
    <w:rsid w:val="00887EEF"/>
    <w:rsid w:val="0089419B"/>
    <w:rsid w:val="008A2785"/>
    <w:rsid w:val="008A3855"/>
    <w:rsid w:val="008A6679"/>
    <w:rsid w:val="008A7553"/>
    <w:rsid w:val="008B33EE"/>
    <w:rsid w:val="008B614E"/>
    <w:rsid w:val="008C19B6"/>
    <w:rsid w:val="008C451A"/>
    <w:rsid w:val="008D051C"/>
    <w:rsid w:val="008D10FE"/>
    <w:rsid w:val="008D6C06"/>
    <w:rsid w:val="008E599C"/>
    <w:rsid w:val="008E796B"/>
    <w:rsid w:val="008F0165"/>
    <w:rsid w:val="008F3A55"/>
    <w:rsid w:val="008F70C4"/>
    <w:rsid w:val="0090197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0CE3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207C"/>
    <w:rsid w:val="00A13D64"/>
    <w:rsid w:val="00A2389B"/>
    <w:rsid w:val="00A249E0"/>
    <w:rsid w:val="00A27FDA"/>
    <w:rsid w:val="00A35937"/>
    <w:rsid w:val="00A370A1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66B9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AF2B52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341BE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B37EB"/>
    <w:rsid w:val="00BC1535"/>
    <w:rsid w:val="00BD12B2"/>
    <w:rsid w:val="00BE45ED"/>
    <w:rsid w:val="00BF3082"/>
    <w:rsid w:val="00BF47F7"/>
    <w:rsid w:val="00C002E9"/>
    <w:rsid w:val="00C00695"/>
    <w:rsid w:val="00C043D4"/>
    <w:rsid w:val="00C04AD5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0359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1265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02F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4AF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26C1"/>
    <w:rsid w:val="00DF51C1"/>
    <w:rsid w:val="00DF6AD0"/>
    <w:rsid w:val="00E04245"/>
    <w:rsid w:val="00E05FEE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69F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0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77785"/>
    <w:rsid w:val="00F83875"/>
    <w:rsid w:val="00F86BCB"/>
    <w:rsid w:val="00F9645B"/>
    <w:rsid w:val="00F97B2C"/>
    <w:rsid w:val="00FA3B67"/>
    <w:rsid w:val="00FA540C"/>
    <w:rsid w:val="00FB62A6"/>
    <w:rsid w:val="00FC1110"/>
    <w:rsid w:val="00FC3BE4"/>
    <w:rsid w:val="00FD4FA5"/>
    <w:rsid w:val="00FD6043"/>
    <w:rsid w:val="00FE2E5F"/>
    <w:rsid w:val="00FE3F1A"/>
    <w:rsid w:val="00FF13E9"/>
    <w:rsid w:val="00FF21B3"/>
    <w:rsid w:val="00FF4A2F"/>
    <w:rsid w:val="25F063AD"/>
    <w:rsid w:val="26B241FC"/>
    <w:rsid w:val="39E22AE7"/>
    <w:rsid w:val="48340C07"/>
    <w:rsid w:val="4866054A"/>
    <w:rsid w:val="63B45DF5"/>
    <w:rsid w:val="65D718A0"/>
    <w:rsid w:val="6B0772FA"/>
    <w:rsid w:val="738D1FFA"/>
    <w:rsid w:val="7C7B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Char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Char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Char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Char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Char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Char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Char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Char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7">
    <w:name w:val="纯文本 字符1"/>
    <w:qFormat/>
    <w:uiPriority w:val="0"/>
    <w:rPr>
      <w:rFonts w:eastAsia="宋体"/>
    </w:rPr>
  </w:style>
  <w:style w:type="paragraph" w:customStyle="1" w:styleId="108">
    <w:name w:val="表格"/>
    <w:basedOn w:val="1"/>
    <w:qFormat/>
    <w:uiPriority w:val="0"/>
    <w:pPr>
      <w:jc w:val="center"/>
    </w:pPr>
    <w:rPr>
      <w:color w:val="000000" w:themeColor="text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32B7C-6BBD-49E0-BDC1-29931AD0B4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1</Pages>
  <Words>246</Words>
  <Characters>1403</Characters>
  <Lines>11</Lines>
  <Paragraphs>3</Paragraphs>
  <TotalTime>0</TotalTime>
  <ScaleCrop>false</ScaleCrop>
  <LinksUpToDate>false</LinksUpToDate>
  <CharactersWithSpaces>1646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deer</cp:lastModifiedBy>
  <dcterms:modified xsi:type="dcterms:W3CDTF">2023-12-14T07:21:24Z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F354F2D5E7584E35973E011E9B013383</vt:lpwstr>
  </property>
</Properties>
</file>