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附件1</w:t>
      </w:r>
    </w:p>
    <w:p>
      <w:pPr>
        <w:snapToGrid w:val="0"/>
        <w:spacing w:line="360" w:lineRule="auto"/>
        <w:jc w:val="center"/>
        <w:rPr>
          <w:rFonts w:ascii="黑体" w:hAnsi="黑体" w:eastAsia="黑体" w:cs="黑体"/>
          <w:sz w:val="36"/>
          <w:szCs w:val="36"/>
        </w:rPr>
      </w:pPr>
      <w:bookmarkStart w:id="0" w:name="_GoBack"/>
      <w:r>
        <w:rPr>
          <w:rFonts w:hint="eastAsia" w:ascii="黑体" w:hAnsi="黑体" w:eastAsia="黑体" w:cs="黑体"/>
          <w:sz w:val="36"/>
          <w:szCs w:val="36"/>
        </w:rPr>
        <w:t>专业</w:t>
      </w: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群</w:t>
      </w:r>
      <w:r>
        <w:rPr>
          <w:rFonts w:hint="eastAsia" w:ascii="黑体" w:hAnsi="黑体" w:eastAsia="黑体" w:cs="黑体"/>
          <w:sz w:val="36"/>
          <w:szCs w:val="36"/>
          <w:lang w:eastAsia="zh-CN"/>
        </w:rPr>
        <w:t>）</w:t>
      </w:r>
      <w:r>
        <w:rPr>
          <w:rFonts w:hint="eastAsia" w:ascii="黑体" w:hAnsi="黑体" w:eastAsia="黑体" w:cs="黑体"/>
          <w:sz w:val="36"/>
          <w:szCs w:val="36"/>
        </w:rPr>
        <w:t>自评</w:t>
      </w:r>
      <w:r>
        <w:rPr>
          <w:rFonts w:hint="eastAsia" w:ascii="黑体" w:hAnsi="黑体" w:eastAsia="黑体" w:cs="黑体"/>
          <w:sz w:val="36"/>
          <w:szCs w:val="36"/>
          <w:lang w:val="en-US" w:eastAsia="zh-CN"/>
        </w:rPr>
        <w:t>打分</w:t>
      </w:r>
      <w:r>
        <w:rPr>
          <w:rFonts w:hint="eastAsia" w:ascii="黑体" w:hAnsi="黑体" w:eastAsia="黑体" w:cs="黑体"/>
          <w:sz w:val="36"/>
          <w:szCs w:val="36"/>
        </w:rPr>
        <w:t>表</w:t>
      </w:r>
    </w:p>
    <w:bookmarkEnd w:id="0"/>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二级学院：</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专业名称：</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自定等级：□A级、□B级、□C级</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总体指标完成数：</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“★”指标未达成数：</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专业（课程）中心主任签字：</w:t>
      </w:r>
      <w:r>
        <w:rPr>
          <w:rFonts w:hint="eastAsia" w:asciiTheme="minorEastAsia" w:hAnsiTheme="minorEastAsia" w:cstheme="minorEastAsia"/>
          <w:sz w:val="28"/>
          <w:szCs w:val="28"/>
          <w:u w:val="single"/>
        </w:rPr>
        <w:t xml:space="preserve">           </w:t>
      </w:r>
    </w:p>
    <w:tbl>
      <w:tblPr>
        <w:tblStyle w:val="2"/>
        <w:tblW w:w="14150" w:type="dxa"/>
        <w:tblInd w:w="93" w:type="dxa"/>
        <w:tblLayout w:type="autofit"/>
        <w:tblCellMar>
          <w:top w:w="0" w:type="dxa"/>
          <w:left w:w="108" w:type="dxa"/>
          <w:bottom w:w="0" w:type="dxa"/>
          <w:right w:w="108" w:type="dxa"/>
        </w:tblCellMar>
      </w:tblPr>
      <w:tblGrid>
        <w:gridCol w:w="725"/>
        <w:gridCol w:w="863"/>
        <w:gridCol w:w="2782"/>
        <w:gridCol w:w="3093"/>
        <w:gridCol w:w="1150"/>
        <w:gridCol w:w="937"/>
        <w:gridCol w:w="950"/>
        <w:gridCol w:w="3650"/>
      </w:tblGrid>
      <w:tr>
        <w:tblPrEx>
          <w:tblCellMar>
            <w:top w:w="0" w:type="dxa"/>
            <w:left w:w="108" w:type="dxa"/>
            <w:bottom w:w="0" w:type="dxa"/>
            <w:right w:w="108" w:type="dxa"/>
          </w:tblCellMar>
        </w:tblPrEx>
        <w:trPr>
          <w:trHeight w:val="270"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一级指标</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二级指标</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指标内涵</w:t>
            </w:r>
          </w:p>
        </w:tc>
        <w:tc>
          <w:tcPr>
            <w:tcW w:w="3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主要检测内容和指标</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专业指标达成情况</w:t>
            </w:r>
          </w:p>
        </w:tc>
        <w:tc>
          <w:tcPr>
            <w:tcW w:w="3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szCs w:val="21"/>
              </w:rPr>
              <w:t>指标达成说明</w:t>
            </w:r>
          </w:p>
        </w:tc>
      </w:tr>
      <w:tr>
        <w:tblPrEx>
          <w:tblCellMar>
            <w:top w:w="0" w:type="dxa"/>
            <w:left w:w="108" w:type="dxa"/>
            <w:bottom w:w="0" w:type="dxa"/>
            <w:right w:w="108" w:type="dxa"/>
          </w:tblCellMar>
        </w:tblPrEx>
        <w:trPr>
          <w:trHeight w:val="627"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Cs w:val="21"/>
              </w:rPr>
            </w:pPr>
          </w:p>
        </w:tc>
        <w:tc>
          <w:tcPr>
            <w:tcW w:w="3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szCs w:val="21"/>
              </w:rPr>
              <w:t>所评等级标准值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达成值</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达成度</w:t>
            </w:r>
          </w:p>
        </w:tc>
        <w:tc>
          <w:tcPr>
            <w:tcW w:w="3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Cs w:val="21"/>
              </w:rPr>
            </w:pPr>
          </w:p>
        </w:tc>
      </w:tr>
      <w:tr>
        <w:tblPrEx>
          <w:tblCellMar>
            <w:top w:w="0" w:type="dxa"/>
            <w:left w:w="108" w:type="dxa"/>
            <w:bottom w:w="0" w:type="dxa"/>
            <w:right w:w="108" w:type="dxa"/>
          </w:tblCellMar>
        </w:tblPrEx>
        <w:trPr>
          <w:trHeight w:val="555"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1.专业群设置</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1.1党的领导</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坚持立德树人根本任务，落实党政联席会议制度，充分发挥基层党组织的主力军作用，建立全员全过程全方位的思想政治工作格局</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Style w:val="4"/>
                <w:sz w:val="21"/>
                <w:szCs w:val="21"/>
              </w:rPr>
              <w:t>ê</w:t>
            </w:r>
            <w:r>
              <w:rPr>
                <w:rStyle w:val="5"/>
                <w:rFonts w:hint="default"/>
                <w:sz w:val="21"/>
                <w:szCs w:val="21"/>
              </w:rPr>
              <w:t>1.1.1专业群建有“三全育人”实施方案，并有序推进</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1.1.2专业群新增课程思政示范专业数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1.1.3专业群新增课程思政示范课程数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1.2目标定位</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专业群建设规划有效对接区域主导产业、支柱产业、战略新兴产业，专业群建设在学校专业建设规划中地位凸显</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Style w:val="4"/>
                <w:sz w:val="21"/>
                <w:szCs w:val="21"/>
              </w:rPr>
              <w:t>ê</w:t>
            </w:r>
            <w:r>
              <w:rPr>
                <w:rStyle w:val="5"/>
                <w:rFonts w:hint="default"/>
                <w:sz w:val="21"/>
                <w:szCs w:val="21"/>
              </w:rPr>
              <w:t>1.2.1专业群有中长期规划</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1.2.2专业群新增专业建设项目数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1.2.3专业群增省级以上实训基地建设项目数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1.3专业群结构</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专业群结构合理，群内专业定位明确，学科互补性好，资源共享度高。构建了“底层共享、中层分立、高层互选”的专业群课程体系</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1.3.1群内专业基于专业群编制人才培养方案的专业占比</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78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1.3.2专业群平台课学分占专业教育课程模块总学分比例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1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1.4建设机制</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建有健全的校企双方参与的专业群组织体系，专业（中心）负责人、课程团队，职责明确，运行高效</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1.4.1 专业群共建共管委员会年均召开全体人员会议</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1.4.2专业（课程）中心机构设置合理，运行成效好</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1.4.3具有健全的教学管理制度和督查考核制度</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2.专业定位与培养质量</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2.1专业定位</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专业定位准确，科学合理，与地方主导产业吻合；以培养“高精尖缺”技术技能人才为专业人才培养目标，实现高定位的培养目标。</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2.1.1专业建设目标总体定位</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1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Style w:val="4"/>
                <w:sz w:val="21"/>
                <w:szCs w:val="21"/>
              </w:rPr>
              <w:t>ê</w:t>
            </w:r>
            <w:r>
              <w:rPr>
                <w:rStyle w:val="5"/>
                <w:rFonts w:hint="default"/>
                <w:sz w:val="21"/>
                <w:szCs w:val="21"/>
              </w:rPr>
              <w:t>2.1.2按计划开展年度专业、课程和学生自我诊断与改进</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2.1.2年度目标完成率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27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2.2专业特色</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专业特色鲜明，专业发展对接行业优势明显，对区域支柱产业和社会发展急需人才的培养贡献度大，能服务区域经济转型、产业升级需求</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2.2.1专业毕业生企业满意度</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27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2.2.2学生对专业设置的满意度</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27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2.2.3年均专业学生流失率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2.3规模与招生</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专业宣传力度大，有较好的声誉；保持一定的招生规模，生源质量较好。</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2.3.1 专业招生规模在国内、省内同类院校排名</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27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2.3.2年均第一志愿报考率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27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2.3.3年均报到率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27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2.4就业质量</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注重学生就业，做到学生初次就业率、就业对口率、就业质量、起薪点“四高”要求；用人单位对学生满意度较高，学生就业满意度较高；形成了毕业生对人才培养工作的反馈机制。</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2.4.1专业学生初次就业率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27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2.4.2专业毕业生就业对口率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2.4.3往届毕业生对学校教学工作满意度</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3.产教融合与培养模式</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3.1产教融合校企合作</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校企合作全面深入，行业、企业承担人才培养任务明确，在招生、就业、教学模式、课程体系、实践环节、教学运行、管理机制和教学组织形式等多方面与企业进行紧密合作；与知名行业企业建立产教联盟，共同开发专业标准、课程标准和人才质量标准；优选业内领先企业开展现代学徒制培养、企业新型学徒制和“订单式”联合培养等</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3.1.1专业学生数与签订合作协议的企业数之比</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3.1.2签订合作协议企业中，有实质性合作内容的企业占比</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1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3.1.3新增与企业共建合作载体项目数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3.1.4开展现代学徒制培养学生占比</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27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 人培养模式与方案</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人才培养模式遵循职业成长规律和教育教学规律，适应区域经济特点，能深度产教融合。人才培养方案科学合理，能够满足技术技能人才培养需求，能够体现校企共育的特点；实行1+X证书制度。</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3.2.1是否实现课证融通</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27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3.2.2是否融赛于课</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3.2.3专业毕业生毕业前取得1+x证书、职业资格证书比例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1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3.2.4 学生毕业前获得英语A级及以上证书学生占比(涉外专业/非涉外专业）</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27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3.4.5专业学生年均体质达标率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4.师资队伍</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4.1师资水平与结构</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教师教学改革意识和质量意识强，教学水平高，科研成果丰硕；专任教师企业经历丰富，实践能力强；师资队伍结构优化，梯队合理；校外兼职教师具有丰富企业工作经历，在行业中具有一定影响力。</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4.1.1新增有校级名师、优秀教学团队数等高层次人才或团队</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1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4.1.2 专业教师生师比</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4.1.3 专业教师具有研究生学历、硕士及以上学位的比例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4.1.4 专业教师具有博士及以上学位比例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4.1.5 专业教师具有高级职称教师比例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4.1.6 专业兼职教师实际授课占专业课总学时之比</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55"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4.2专业带头人和领军人才</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专业带头人和领军人才在行业有一定影响，能够准确把握行业动态和发展趋势，专业水平高，科研及管理能力强，层次高；专业带头人聘任、培养和考核制度健全，实施有效。</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Style w:val="4"/>
                <w:sz w:val="21"/>
                <w:szCs w:val="21"/>
              </w:rPr>
              <w:t>ê</w:t>
            </w:r>
            <w:r>
              <w:rPr>
                <w:rStyle w:val="5"/>
                <w:rFonts w:hint="default"/>
                <w:sz w:val="21"/>
                <w:szCs w:val="21"/>
              </w:rPr>
              <w:t>4.2.1专业双带头人聘任考核制度齐全、运行好</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1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4.2.2专业带头人聘期内年均牵头开展的专业相关课题研究、发表论文或专利数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27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4.2.3专业群新增产业教授数量</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108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4.2.4专业群建有的技能大师工作室、名师工作室、教授工作室近5年年均完成省级以上课题、成果或获得省级荣誉数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4.3双师型教师</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培养和引进双师型教师；以老带新的青年教师培养机制完善；优化“双师”队伍结构；实施“双师”教师素质提高计划，落实全员轮训；专业教师赴企业实践人数多，累计时间长，技能水平显著提升；注重吸引高水平行业精英和企业骨干来校任教。</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4.3.1按年度制定教师培养引培计划，执行率高</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1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4.3.2专业教师拥有中级以上技能等级证书或职业职责证书的比例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4.3.3 专业教师5年内在行业企业实践累计半年以上教师比例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4.3.4 专业教师每年在行业企业实践1个月以上教师比例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1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4.2.5专业拥有省级技能大师、技术能手、大国工匠等高级技术技能人才数占比专业教师比例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55"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5.课程与资源</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5.1课程体系</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体系结构合理，突出实践能力培养，课程衔接合理，能够支撑人才培养目标；校企联合进行课程体系建设和教学内容改革，课程内容与职业标准对接，教学过程与生产过程对接，建立职业教育课程标准；紧贴专业发展和技术更新课程内容，进行课程改革。</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5.1.1课程体系遵循OBE理念，突出能力导向</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1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5.1.2专业人才培养方案中完成课程入籍的专业课比例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5.1.3 实践教学比例占专业课总学时的比例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1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5.1.4通过项目化课程认定的课程数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5.2课程资源</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教学资源配备丰富，能够为学生在线学习提供支持；有完善的信息化资源建设、使用、管理、线上线下学习成果互认机制；根据产业发展和技术升级及时更新课程资源；教材建设、管理及选用制度完善；校企合作开发专业课程教材，能够体现职业素养的培养，职业教育特色鲜明；教材随信息技术发展和产业升级及时动态调整。</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5.2.1 专业建有精品在线开放课程数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108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5.2.2专业建有教学资源库情况</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5.2.3自编有新形态教材数占专业课比例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5.2.4选用教材为近5年国家规划教材或自编新形态教材比例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5.2.5专业近5年建有规划教材（含省重点教材）数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5.3课程教学方法、手段和考核</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充分利用信息化技术改造传统课堂，提升教学效果，推进虚拟工厂等网络学习空间建设和普遍应用；立足学情分析，考核方式灵活，积极推行综合性、多形式、多阶段考核，契合课程教学特点，注重综合评价，突出能力培养。</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5.3.1采用线上线下混合教学的专业课比例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108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5.3.2专业教师新增教学能力大赛项目数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1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5.3.3专业获得项目化示范课程比例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108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5.3.4考核采用“专业+专长”考核模式，突出过程考核和增值考核的专业课程比例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6.实践教学</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6.1实践教学条件</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校内实践教学基地设施先进，技术含量高，具有真实（仿真）的职业氛围，能满足学生职业技能和综合实践能力训练需要；校外实习实训基地稳定，所在企业、单位在行业中有较强影响力，硬件水平高，实习管理规范，企业指导教师数量多、层次高，校外实训效果好。</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6.1.1专业群生均教学仪器设备值</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1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6.1.2专业群建有高水平实训基地建设项目数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6.1.3建有虚拟仿真数字化资源能涵盖专业课程比例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108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6.1.4学生实际去开展认识实习、跟岗实习、顶岗实习或现代学徒制培养的校外实习基地数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108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6.2实践教学内容</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实践教学项目环节设计科学合理，内容与实际需求结合密切；实践教学以技术技能训练为基础，凸显学生职业精神与综合素质培养；实训基地管理制度完善，运行良好。</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6.2.1实践教学管理制度齐全，实习档案归档整齐、完整，安全管理预案科学，安全培训和演练规范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1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6.2.2专业群各实验实训室管理规范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Style w:val="4"/>
                <w:sz w:val="21"/>
                <w:szCs w:val="21"/>
              </w:rPr>
              <w:t>ê</w:t>
            </w:r>
            <w:r>
              <w:rPr>
                <w:rStyle w:val="5"/>
                <w:rFonts w:hint="default"/>
                <w:sz w:val="21"/>
                <w:szCs w:val="21"/>
              </w:rPr>
              <w:t>6.2.近3年总使用低于800学时的专业群实验实训室比例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1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6.2.4单个仪器设备总值超10万元的重大仪器设备近3年年使用时间少于800小时的比例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108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6.2.5专业群以实验实训室为单位完成实验实训项目开发的比例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7.技能大赛与创新创业</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7.1技能大赛</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具有完善的技能大赛承办、学生选拔、培训、奖励机制，并有一定的大赛承办能力；技能大赛与专业教学紧密结合，以赛促教、以赛促学；学生参加各级技能大赛比例高，省级及以上技能大赛成绩优异。</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7.1.1 院级技能大赛机制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7.1.2专业学生参加院级技能大赛的比例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1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7.1.3 专业新增省级以上技能大赛奖项数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7.2创新创业</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推进专业教育基础上的创新创业教育；按照创新创业教育的要求，优化人才培养方案和课程结构；将创新创业教育融入人才培养全过程，创新创业课程资源丰富，创新创业实践基地条件优良，平台类型丰富。</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7.1.1专业群建有校级及以上创新工作室（创客空间）数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7.1.2专业学生年均完成省级大学生创新研究项目数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7.1.3专业层面开设的创新创业课学分数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27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7.1.4校友毕业三年内创业率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10"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8.科研、社会服务与国际交流</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8.1科技研发</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与行业企业深入合作，开展科技研发应用工作，有一定数量的纵向教科研项目；横向项目经费到款额度高；专业教师获得一定数量专利，专利转化率高。</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8.1.1专业教师5年内师均完成省级以上高水平教科研课题数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108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8.1.2专业教师5年人均技术服务到款额（横向/纵向/技术交易/非学历培训/公益性培训服务）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1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8.1.3专业群新增省级以上技术协同创新中心、工程中心等科研平台数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8.1.4专业群年均技术成果转化率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66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8.2社会服务</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开展多种形式的社会培训和师资培训；依托专业资源，紧贴产业行业发展与技术革新前沿，协助企业解决技术难题，开展技术服务。</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8.2.1 专业年均培训和鉴定人次达到专业在校生的规模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8.2.3专业年均生均培训和鉴定收益</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8.3国际交流</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与境外院校或教育机构在学生交流、教师进修、合作办学、课程建设、共建实训基地、资源共享等方面合作顺畅，效果良好；探索开展境外办学和培训。</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8.3.1 有与境外院校或教育机构交流的专业学生比例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8.3.2展业是否招收境外留学生（含3个月以上非学历教育）</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8.3.3专业5年内有国境外3个月以上进修资历专业教师占比</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9.专业影响与特色创新</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9.1专业影响及评价</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在行业和区域内有较强的影响力，形成了良好品牌；实施毕业生评价、用人单位评价等完善的第三方评价机制。</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9.1.1专业年均在媒体宣传和报道数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9.1.2专业新增省级以上标志性成果、荣誉</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108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9.1.3建立了毕业生评价、用人单位评价等完善的第三方评价机制（毕业生跟踪体系）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27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9.2特色创新</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专业群建设各项改革创新成效显著，充分体现出专业群建设的信息化、国际化、终生化、个性化和多样化，并形成原创性的范式和经验，在省内乃至国内同行中有重要影响</w:t>
            </w:r>
            <w:r>
              <w:rPr>
                <w:rFonts w:hint="eastAsia" w:ascii="宋体" w:hAnsi="宋体" w:eastAsia="宋体" w:cs="宋体"/>
                <w:color w:val="000000"/>
                <w:kern w:val="0"/>
                <w:szCs w:val="21"/>
                <w:lang w:eastAsia="zh-CN" w:bidi="ar"/>
              </w:rPr>
              <w:t>。</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9.2.1获评特色创新案例数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135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000000"/>
                <w:szCs w:val="21"/>
              </w:rPr>
            </w:pP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1"/>
                <w:szCs w:val="21"/>
              </w:rPr>
            </w:pPr>
            <w:r>
              <w:rPr>
                <w:rFonts w:hint="eastAsia"/>
                <w:color w:val="000000"/>
                <w:sz w:val="21"/>
                <w:szCs w:val="21"/>
              </w:rPr>
              <w:t>9.2.2自评报告中凝练的特色创新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1350" w:hRule="atLeast"/>
        </w:trPr>
        <w:tc>
          <w:tcPr>
            <w:tcW w:w="141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szCs w:val="21"/>
              </w:rPr>
            </w:pPr>
            <w:r>
              <w:rPr>
                <w:rFonts w:hint="eastAsia" w:ascii="宋体" w:hAnsi="宋体" w:eastAsia="宋体" w:cs="宋体"/>
                <w:color w:val="000000"/>
                <w:szCs w:val="21"/>
              </w:rPr>
              <w:t>遴选要求和关键指标说明：</w:t>
            </w:r>
          </w:p>
          <w:p>
            <w:pPr>
              <w:widowControl/>
              <w:jc w:val="both"/>
              <w:textAlignment w:val="center"/>
              <w:rPr>
                <w:rFonts w:hint="eastAsia" w:ascii="宋体" w:hAnsi="宋体" w:eastAsia="宋体" w:cs="宋体"/>
                <w:color w:val="000000"/>
                <w:szCs w:val="21"/>
              </w:rPr>
            </w:pPr>
            <w:r>
              <w:rPr>
                <w:rFonts w:hint="eastAsia" w:ascii="宋体" w:hAnsi="宋体" w:eastAsia="宋体" w:cs="宋体"/>
                <w:color w:val="000000"/>
                <w:szCs w:val="21"/>
              </w:rPr>
              <w:t xml:space="preserve">    1. 本标准共9个一级指标、25个二级指标和90个具体观测指标，专业至少达到85个具体观测指标，且所有“</w:t>
            </w:r>
            <w:r>
              <w:rPr>
                <w:rStyle w:val="4"/>
                <w:sz w:val="21"/>
                <w:szCs w:val="21"/>
              </w:rPr>
              <w:t>ê</w:t>
            </w:r>
            <w:r>
              <w:rPr>
                <w:rFonts w:hint="eastAsia" w:ascii="宋体" w:hAnsi="宋体" w:eastAsia="宋体" w:cs="宋体"/>
                <w:color w:val="000000"/>
                <w:szCs w:val="21"/>
              </w:rPr>
              <w:t>”指标皆符合标准才能认定为相应级别；</w:t>
            </w:r>
          </w:p>
          <w:p>
            <w:pPr>
              <w:widowControl/>
              <w:jc w:val="both"/>
              <w:textAlignment w:val="center"/>
              <w:rPr>
                <w:rFonts w:hint="eastAsia" w:ascii="宋体" w:hAnsi="宋体" w:eastAsia="宋体" w:cs="宋体"/>
                <w:color w:val="000000"/>
                <w:szCs w:val="21"/>
              </w:rPr>
            </w:pPr>
            <w:r>
              <w:rPr>
                <w:rFonts w:hint="eastAsia" w:ascii="宋体" w:hAnsi="宋体" w:eastAsia="宋体" w:cs="宋体"/>
                <w:color w:val="000000"/>
                <w:szCs w:val="21"/>
              </w:rPr>
              <w:t xml:space="preserve">    2. 专业每5年须完成一轮评估，至少达到C类标准75个指标，且所有“</w:t>
            </w:r>
            <w:r>
              <w:rPr>
                <w:rStyle w:val="4"/>
                <w:sz w:val="21"/>
                <w:szCs w:val="21"/>
              </w:rPr>
              <w:t>ê</w:t>
            </w:r>
            <w:r>
              <w:rPr>
                <w:rFonts w:hint="eastAsia" w:ascii="宋体" w:hAnsi="宋体" w:eastAsia="宋体" w:cs="宋体"/>
                <w:color w:val="000000"/>
                <w:szCs w:val="21"/>
              </w:rPr>
              <w:t>”指标皆符合要求的专业评估结果为合格，否则为不合格；</w:t>
            </w:r>
          </w:p>
          <w:p>
            <w:pPr>
              <w:widowControl/>
              <w:jc w:val="both"/>
              <w:textAlignment w:val="center"/>
              <w:rPr>
                <w:rFonts w:hint="eastAsia" w:ascii="宋体" w:hAnsi="宋体" w:eastAsia="宋体" w:cs="宋体"/>
                <w:color w:val="000000"/>
                <w:szCs w:val="21"/>
              </w:rPr>
            </w:pPr>
            <w:r>
              <w:rPr>
                <w:rFonts w:hint="eastAsia" w:ascii="宋体" w:hAnsi="宋体" w:eastAsia="宋体" w:cs="宋体"/>
                <w:color w:val="000000"/>
                <w:szCs w:val="21"/>
              </w:rPr>
              <w:t xml:space="preserve">    3. 除特别说明为，指标数据的统计日期为近5年；</w:t>
            </w:r>
          </w:p>
          <w:p>
            <w:pPr>
              <w:widowControl/>
              <w:jc w:val="both"/>
              <w:textAlignment w:val="center"/>
              <w:rPr>
                <w:rFonts w:hint="eastAsia" w:ascii="宋体" w:hAnsi="宋体" w:eastAsia="宋体" w:cs="宋体"/>
                <w:color w:val="000000"/>
                <w:szCs w:val="21"/>
              </w:rPr>
            </w:pPr>
            <w:r>
              <w:rPr>
                <w:rFonts w:hint="eastAsia" w:ascii="宋体" w:hAnsi="宋体" w:eastAsia="宋体" w:cs="宋体"/>
                <w:color w:val="000000"/>
                <w:szCs w:val="21"/>
              </w:rPr>
              <w:t xml:space="preserve">    4. 专业评级将作为基本专业建设与教学改革资金分配、省级及以上项目申报名额分配的主要依据；</w:t>
            </w:r>
          </w:p>
          <w:p>
            <w:pPr>
              <w:widowControl/>
              <w:jc w:val="both"/>
              <w:textAlignment w:val="center"/>
              <w:rPr>
                <w:rFonts w:hint="eastAsia" w:ascii="宋体" w:hAnsi="宋体" w:eastAsia="宋体" w:cs="宋体"/>
                <w:color w:val="000000"/>
                <w:szCs w:val="21"/>
              </w:rPr>
            </w:pPr>
            <w:r>
              <w:rPr>
                <w:rFonts w:hint="eastAsia" w:ascii="宋体" w:hAnsi="宋体" w:eastAsia="宋体" w:cs="宋体"/>
                <w:color w:val="000000"/>
                <w:szCs w:val="21"/>
              </w:rPr>
              <w:t xml:space="preserve">    5. 专业教师是指承接了该专业至少完整一门专业课程教学任务的专任教师，含双肩挑人员，评估前须专业需提交专业教师名单和承接教学任务的证明材料。</w:t>
            </w:r>
          </w:p>
          <w:p>
            <w:pPr>
              <w:widowControl/>
              <w:jc w:val="both"/>
              <w:textAlignment w:val="center"/>
              <w:rPr>
                <w:rFonts w:ascii="宋体" w:hAnsi="宋体" w:eastAsia="宋体" w:cs="宋体"/>
                <w:color w:val="000000"/>
                <w:szCs w:val="21"/>
              </w:rPr>
            </w:pPr>
            <w:r>
              <w:rPr>
                <w:rFonts w:hint="eastAsia" w:ascii="宋体" w:hAnsi="宋体" w:eastAsia="宋体" w:cs="宋体"/>
                <w:color w:val="000000"/>
                <w:szCs w:val="21"/>
              </w:rPr>
              <w:t xml:space="preserve">    6. 省级及以上项目、课题、荣誉是指教育主管部门、科技主管部门、人力资源管理部门、交通部等政府部门组织评审、立项的项目、课题、荣誉。</w:t>
            </w:r>
          </w:p>
        </w:tc>
      </w:tr>
    </w:tbl>
    <w:p>
      <w:pPr>
        <w:snapToGrid w:val="0"/>
        <w:jc w:val="center"/>
        <w:rPr>
          <w:rFonts w:asciiTheme="minorEastAsia" w:hAnsiTheme="minorEastAsia" w:cstheme="minorEastAsia"/>
          <w:sz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YzVlOTVmM2Q0MjYzYjk1YzAxNzVlNWI5YjE4YzIifQ=="/>
  </w:docVars>
  <w:rsids>
    <w:rsidRoot w:val="37F56DAC"/>
    <w:rsid w:val="04FA234D"/>
    <w:rsid w:val="2A1B35F7"/>
    <w:rsid w:val="2FC73C59"/>
    <w:rsid w:val="309A2CBD"/>
    <w:rsid w:val="37F56DAC"/>
    <w:rsid w:val="7B910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default" w:ascii="Wingdings 2" w:hAnsi="Wingdings 2"/>
      <w:color w:val="000000"/>
      <w:sz w:val="22"/>
      <w:szCs w:val="22"/>
      <w:u w:val="none"/>
    </w:rPr>
  </w:style>
  <w:style w:type="character" w:customStyle="1" w:styleId="5">
    <w:name w:val="font01"/>
    <w:basedOn w:val="3"/>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4422</Words>
  <Characters>4866</Characters>
  <Lines>0</Lines>
  <Paragraphs>0</Paragraphs>
  <TotalTime>10</TotalTime>
  <ScaleCrop>false</ScaleCrop>
  <LinksUpToDate>false</LinksUpToDate>
  <CharactersWithSpaces>4994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2022-11-25T02:58:00Z</dcterms:created>
  <dc:creator>完剑侠</dc:creator>
  <cp:lastModifiedBy>小瑞妈咪</cp:lastModifiedBy>
  <dcterms:modified xsi:type="dcterms:W3CDTF">2024-04-07T07:12:19Z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D054EF241A32443BA485993DFC0AC592_13</vt:lpwstr>
  </property>
</Properties>
</file>