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jc w:val="center"/>
        <w:rPr>
          <w:rFonts w:ascii="微软雅黑" w:hAnsi="微软雅黑" w:eastAsia="微软雅黑" w:cs="Times New Roman"/>
          <w:b/>
          <w:sz w:val="36"/>
          <w:szCs w:val="36"/>
        </w:rPr>
      </w:pPr>
      <w:r>
        <w:rPr>
          <w:rFonts w:hint="eastAsia" w:ascii="微软雅黑" w:hAnsi="微软雅黑" w:eastAsia="微软雅黑" w:cs="Times New Roman"/>
          <w:b/>
          <w:sz w:val="36"/>
          <w:szCs w:val="36"/>
        </w:rPr>
        <w:t>工业机器人技术</w:t>
      </w:r>
      <w:r>
        <w:rPr>
          <w:rFonts w:ascii="微软雅黑" w:hAnsi="微软雅黑" w:eastAsia="微软雅黑" w:cs="Times New Roman"/>
          <w:b/>
          <w:sz w:val="36"/>
          <w:szCs w:val="36"/>
        </w:rPr>
        <w:t>专业</w:t>
      </w:r>
      <w:r>
        <w:rPr>
          <w:rFonts w:hint="eastAsia" w:ascii="微软雅黑" w:hAnsi="微软雅黑" w:eastAsia="微软雅黑" w:cs="Times New Roman"/>
          <w:b/>
          <w:sz w:val="36"/>
          <w:szCs w:val="36"/>
        </w:rPr>
        <w:t>转专业录取办法</w:t>
      </w:r>
    </w:p>
    <w:p>
      <w:pPr>
        <w:pStyle w:val="2"/>
        <w:spacing w:line="360" w:lineRule="auto"/>
        <w:ind w:firstLine="560" w:firstLineChars="200"/>
        <w:rPr>
          <w:rFonts w:cs="Times New Roman" w:asciiTheme="minorEastAsia" w:hAnsiTheme="minorEastAsia" w:eastAsiaTheme="minorEastAsia"/>
          <w:color w:val="auto"/>
          <w:sz w:val="28"/>
          <w:szCs w:val="28"/>
        </w:rPr>
      </w:pPr>
      <w:r>
        <w:rPr>
          <w:rFonts w:hint="eastAsia" w:cs="Times New Roman" w:asciiTheme="minorEastAsia" w:hAnsiTheme="minorEastAsia" w:eastAsiaTheme="minorEastAsia"/>
          <w:color w:val="auto"/>
          <w:sz w:val="28"/>
          <w:szCs w:val="28"/>
        </w:rPr>
        <w:t>为适应高等职业教育改革与发展，充分体现“以生为本”的教育理念，尊重学生个人志向，发挥学生专长，激发学生学习积极性、主动性，进一步完善个性化人才培养模式，进一步规范学校学生转专业行为，科学稳妥地组织转专业相关工作，依据《江苏海事职业技术学院学生学籍管理办法》制定本办法。</w:t>
      </w:r>
    </w:p>
    <w:p>
      <w:pPr>
        <w:pStyle w:val="2"/>
        <w:ind w:firstLine="549"/>
        <w:rPr>
          <w:rFonts w:ascii="微软雅黑" w:hAnsi="微软雅黑" w:eastAsia="微软雅黑" w:cs="Times New Roman"/>
          <w:b/>
          <w:color w:val="auto"/>
          <w:sz w:val="28"/>
          <w:szCs w:val="28"/>
        </w:rPr>
      </w:pPr>
      <w:bookmarkStart w:id="0" w:name="_Toc396501700"/>
      <w:bookmarkStart w:id="1" w:name="_Toc396497634"/>
      <w:bookmarkStart w:id="2" w:name="_Toc396497526"/>
      <w:bookmarkStart w:id="3" w:name="_Toc393236437"/>
      <w:bookmarkStart w:id="4" w:name="_Toc396497324"/>
      <w:r>
        <w:rPr>
          <w:rFonts w:ascii="微软雅黑" w:hAnsi="微软雅黑" w:eastAsia="微软雅黑" w:cs="Times New Roman"/>
          <w:b/>
          <w:color w:val="auto"/>
          <w:sz w:val="28"/>
          <w:szCs w:val="28"/>
        </w:rPr>
        <w:t>一、专业基本信息</w:t>
      </w:r>
      <w:bookmarkEnd w:id="0"/>
      <w:bookmarkEnd w:id="1"/>
      <w:bookmarkEnd w:id="2"/>
      <w:bookmarkEnd w:id="3"/>
      <w:bookmarkEnd w:id="4"/>
    </w:p>
    <w:p>
      <w:pPr>
        <w:pStyle w:val="2"/>
        <w:ind w:firstLine="549"/>
        <w:rPr>
          <w:rFonts w:ascii="微软雅黑" w:hAnsi="微软雅黑" w:eastAsia="微软雅黑" w:cs="Times New Roman"/>
          <w:b/>
          <w:color w:val="auto"/>
          <w:sz w:val="28"/>
          <w:szCs w:val="28"/>
        </w:rPr>
      </w:pPr>
      <w:bookmarkStart w:id="5" w:name="_Toc393236438"/>
      <w:bookmarkStart w:id="6" w:name="_Toc396497635"/>
      <w:bookmarkStart w:id="7" w:name="_Toc396497527"/>
      <w:bookmarkStart w:id="8" w:name="_Toc396501701"/>
      <w:bookmarkStart w:id="9" w:name="_Toc396497325"/>
      <w:r>
        <w:rPr>
          <w:rFonts w:ascii="微软雅黑" w:hAnsi="微软雅黑" w:eastAsia="微软雅黑" w:cs="Times New Roman"/>
          <w:b/>
          <w:color w:val="auto"/>
          <w:sz w:val="28"/>
          <w:szCs w:val="28"/>
        </w:rPr>
        <w:t>（一）专业名称</w:t>
      </w:r>
      <w:bookmarkEnd w:id="5"/>
      <w:bookmarkEnd w:id="6"/>
      <w:bookmarkEnd w:id="7"/>
      <w:bookmarkEnd w:id="8"/>
      <w:bookmarkEnd w:id="9"/>
    </w:p>
    <w:p>
      <w:pPr>
        <w:adjustRightInd w:val="0"/>
        <w:snapToGrid w:val="0"/>
        <w:ind w:firstLine="560" w:firstLineChars="200"/>
        <w:rPr>
          <w:rFonts w:ascii="宋体" w:hAnsi="宋体" w:eastAsia="宋体" w:cs="Times New Roman"/>
          <w:color w:val="000000"/>
          <w:sz w:val="28"/>
          <w:szCs w:val="28"/>
        </w:rPr>
      </w:pPr>
      <w:bookmarkStart w:id="10" w:name="_Toc396497636"/>
      <w:bookmarkStart w:id="11" w:name="_Toc396501702"/>
      <w:bookmarkStart w:id="12" w:name="_Toc393236439"/>
      <w:bookmarkStart w:id="13" w:name="_Toc396497528"/>
      <w:bookmarkStart w:id="14" w:name="_Toc396497326"/>
      <w:r>
        <w:rPr>
          <w:rFonts w:hint="eastAsia" w:ascii="宋体" w:hAnsi="宋体" w:eastAsia="宋体"/>
          <w:color w:val="000000"/>
          <w:sz w:val="28"/>
          <w:szCs w:val="28"/>
        </w:rPr>
        <w:t>工业机器人</w:t>
      </w:r>
      <w:r>
        <w:rPr>
          <w:rFonts w:ascii="宋体" w:hAnsi="宋体" w:eastAsia="宋体"/>
          <w:color w:val="000000"/>
          <w:sz w:val="28"/>
          <w:szCs w:val="28"/>
        </w:rPr>
        <w:t xml:space="preserve">技术专业   专业代码 </w:t>
      </w:r>
      <w:r>
        <w:rPr>
          <w:rFonts w:ascii="宋体" w:hAnsi="宋体" w:eastAsia="宋体" w:cs="Times New Roman"/>
          <w:color w:val="000000"/>
          <w:sz w:val="28"/>
          <w:szCs w:val="28"/>
        </w:rPr>
        <w:t>460305</w:t>
      </w:r>
    </w:p>
    <w:p>
      <w:pPr>
        <w:pStyle w:val="2"/>
        <w:ind w:firstLine="549"/>
        <w:rPr>
          <w:rFonts w:ascii="微软雅黑" w:hAnsi="微软雅黑" w:eastAsia="微软雅黑" w:cs="Times New Roman"/>
          <w:b/>
          <w:color w:val="auto"/>
          <w:sz w:val="28"/>
          <w:szCs w:val="28"/>
        </w:rPr>
      </w:pPr>
      <w:r>
        <w:rPr>
          <w:rFonts w:hint="eastAsia" w:ascii="微软雅黑" w:hAnsi="微软雅黑" w:eastAsia="微软雅黑" w:cs="Times New Roman"/>
          <w:b/>
          <w:color w:val="auto"/>
          <w:sz w:val="28"/>
          <w:szCs w:val="28"/>
        </w:rPr>
        <w:t>（二）</w:t>
      </w:r>
      <w:bookmarkEnd w:id="10"/>
      <w:bookmarkEnd w:id="11"/>
      <w:bookmarkEnd w:id="12"/>
      <w:bookmarkEnd w:id="13"/>
      <w:bookmarkEnd w:id="14"/>
      <w:bookmarkStart w:id="15" w:name="_Toc393236443"/>
      <w:bookmarkStart w:id="16" w:name="_Toc396497330"/>
      <w:bookmarkStart w:id="17" w:name="_Toc396497640"/>
      <w:bookmarkStart w:id="18" w:name="_Toc396501706"/>
      <w:bookmarkStart w:id="19" w:name="_Toc396497532"/>
      <w:r>
        <w:rPr>
          <w:rFonts w:hint="eastAsia" w:ascii="微软雅黑" w:hAnsi="微软雅黑" w:eastAsia="微软雅黑" w:cs="Times New Roman"/>
          <w:b/>
          <w:color w:val="auto"/>
          <w:sz w:val="28"/>
          <w:szCs w:val="28"/>
        </w:rPr>
        <w:t>人才</w:t>
      </w:r>
      <w:r>
        <w:rPr>
          <w:rFonts w:ascii="微软雅黑" w:hAnsi="微软雅黑" w:eastAsia="微软雅黑" w:cs="Times New Roman"/>
          <w:b/>
          <w:color w:val="auto"/>
          <w:sz w:val="28"/>
          <w:szCs w:val="28"/>
        </w:rPr>
        <w:t>培养目标</w:t>
      </w:r>
      <w:bookmarkEnd w:id="15"/>
      <w:bookmarkEnd w:id="16"/>
      <w:bookmarkEnd w:id="17"/>
      <w:bookmarkEnd w:id="18"/>
      <w:bookmarkEnd w:id="19"/>
    </w:p>
    <w:p>
      <w:pPr>
        <w:pStyle w:val="2"/>
        <w:spacing w:line="360" w:lineRule="auto"/>
        <w:ind w:firstLine="560" w:firstLineChars="200"/>
        <w:rPr>
          <w:rFonts w:cs="Times New Roman" w:asciiTheme="minorEastAsia" w:hAnsiTheme="minorEastAsia" w:eastAsiaTheme="minorEastAsia"/>
          <w:color w:val="auto"/>
          <w:sz w:val="28"/>
          <w:szCs w:val="28"/>
        </w:rPr>
      </w:pPr>
      <w:r>
        <w:rPr>
          <w:rFonts w:hint="eastAsia" w:cs="Times New Roman" w:asciiTheme="minorEastAsia" w:hAnsiTheme="minorEastAsia" w:eastAsiaTheme="minorEastAsia"/>
          <w:color w:val="auto"/>
          <w:sz w:val="28"/>
          <w:szCs w:val="28"/>
        </w:rPr>
        <w:t>工业机器人技术专业主要面向江苏省加工制造业及工业机器人生产企业，培养具备从事工业机器人组装与测试、操作编程、工业机器人销售与技术服务，运行维护及管理能力的，具有一定的文化水平、良好的职业道德和人文素养，能在生产、服务一线从事生产、建设、服务和管理等工作，具有职业生涯发展基础的应用型高素质技术技能人才。</w:t>
      </w:r>
    </w:p>
    <w:p>
      <w:pPr>
        <w:pStyle w:val="2"/>
        <w:ind w:firstLine="549"/>
        <w:rPr>
          <w:rFonts w:ascii="微软雅黑" w:hAnsi="微软雅黑" w:eastAsia="微软雅黑" w:cs="Times New Roman"/>
          <w:b/>
          <w:color w:val="auto"/>
          <w:sz w:val="28"/>
          <w:szCs w:val="28"/>
        </w:rPr>
      </w:pPr>
      <w:bookmarkStart w:id="20" w:name="_Toc396497534"/>
      <w:bookmarkStart w:id="21" w:name="_Toc396501708"/>
      <w:bookmarkStart w:id="22" w:name="_Toc396497332"/>
      <w:bookmarkStart w:id="23" w:name="_Toc393236445"/>
      <w:bookmarkStart w:id="24" w:name="_Toc396497642"/>
      <w:r>
        <w:rPr>
          <w:rFonts w:ascii="微软雅黑" w:hAnsi="微软雅黑" w:eastAsia="微软雅黑" w:cs="Times New Roman"/>
          <w:b/>
          <w:color w:val="auto"/>
          <w:sz w:val="28"/>
          <w:szCs w:val="28"/>
        </w:rPr>
        <w:t>（</w:t>
      </w:r>
      <w:r>
        <w:rPr>
          <w:rFonts w:hint="eastAsia" w:ascii="微软雅黑" w:hAnsi="微软雅黑" w:eastAsia="微软雅黑" w:cs="Times New Roman"/>
          <w:b/>
          <w:color w:val="auto"/>
          <w:sz w:val="28"/>
          <w:szCs w:val="28"/>
        </w:rPr>
        <w:t>三）职业</w:t>
      </w:r>
      <w:bookmarkEnd w:id="20"/>
      <w:bookmarkEnd w:id="21"/>
      <w:bookmarkEnd w:id="22"/>
      <w:bookmarkEnd w:id="23"/>
      <w:bookmarkEnd w:id="24"/>
      <w:r>
        <w:rPr>
          <w:rFonts w:hint="eastAsia" w:ascii="微软雅黑" w:hAnsi="微软雅黑" w:eastAsia="微软雅黑" w:cs="Times New Roman"/>
          <w:b/>
          <w:color w:val="auto"/>
          <w:sz w:val="28"/>
          <w:szCs w:val="28"/>
        </w:rPr>
        <w:t>面向</w:t>
      </w:r>
    </w:p>
    <w:tbl>
      <w:tblPr>
        <w:tblStyle w:val="11"/>
        <w:tblW w:w="80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1314"/>
        <w:gridCol w:w="1479"/>
        <w:gridCol w:w="1336"/>
        <w:gridCol w:w="756"/>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57" w:type="dxa"/>
            <w:vMerge w:val="restart"/>
            <w:vAlign w:val="center"/>
          </w:tcPr>
          <w:p>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专业名称</w:t>
            </w:r>
          </w:p>
        </w:tc>
        <w:tc>
          <w:tcPr>
            <w:tcW w:w="1314" w:type="dxa"/>
            <w:vMerge w:val="restart"/>
            <w:vAlign w:val="center"/>
          </w:tcPr>
          <w:p>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专业方向</w:t>
            </w:r>
          </w:p>
        </w:tc>
        <w:tc>
          <w:tcPr>
            <w:tcW w:w="1479" w:type="dxa"/>
            <w:vMerge w:val="restart"/>
            <w:vAlign w:val="center"/>
          </w:tcPr>
          <w:p>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职业岗位</w:t>
            </w:r>
          </w:p>
        </w:tc>
        <w:tc>
          <w:tcPr>
            <w:tcW w:w="3788" w:type="dxa"/>
            <w:gridSpan w:val="3"/>
            <w:vAlign w:val="center"/>
          </w:tcPr>
          <w:p>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职业资格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57" w:type="dxa"/>
            <w:vMerge w:val="continue"/>
          </w:tcPr>
          <w:p>
            <w:pPr>
              <w:adjustRightInd w:val="0"/>
              <w:snapToGrid w:val="0"/>
              <w:jc w:val="center"/>
              <w:textAlignment w:val="baseline"/>
              <w:rPr>
                <w:rFonts w:asciiTheme="minorEastAsia" w:hAnsiTheme="minorEastAsia"/>
                <w:b/>
                <w:bCs/>
                <w:szCs w:val="21"/>
              </w:rPr>
            </w:pPr>
          </w:p>
        </w:tc>
        <w:tc>
          <w:tcPr>
            <w:tcW w:w="1314" w:type="dxa"/>
            <w:vMerge w:val="continue"/>
            <w:vAlign w:val="center"/>
          </w:tcPr>
          <w:p>
            <w:pPr>
              <w:adjustRightInd w:val="0"/>
              <w:snapToGrid w:val="0"/>
              <w:jc w:val="center"/>
              <w:textAlignment w:val="baseline"/>
              <w:rPr>
                <w:rFonts w:asciiTheme="minorEastAsia" w:hAnsiTheme="minorEastAsia"/>
                <w:b/>
                <w:bCs/>
                <w:szCs w:val="21"/>
              </w:rPr>
            </w:pPr>
          </w:p>
        </w:tc>
        <w:tc>
          <w:tcPr>
            <w:tcW w:w="1479" w:type="dxa"/>
            <w:vMerge w:val="continue"/>
            <w:vAlign w:val="center"/>
          </w:tcPr>
          <w:p>
            <w:pPr>
              <w:adjustRightInd w:val="0"/>
              <w:snapToGrid w:val="0"/>
              <w:jc w:val="center"/>
              <w:textAlignment w:val="baseline"/>
              <w:rPr>
                <w:rFonts w:asciiTheme="minorEastAsia" w:hAnsiTheme="minorEastAsia"/>
                <w:b/>
                <w:bCs/>
                <w:szCs w:val="21"/>
              </w:rPr>
            </w:pPr>
          </w:p>
        </w:tc>
        <w:tc>
          <w:tcPr>
            <w:tcW w:w="1336" w:type="dxa"/>
            <w:vAlign w:val="center"/>
          </w:tcPr>
          <w:p>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证书名称</w:t>
            </w:r>
          </w:p>
        </w:tc>
        <w:tc>
          <w:tcPr>
            <w:tcW w:w="756" w:type="dxa"/>
            <w:vAlign w:val="center"/>
          </w:tcPr>
          <w:p>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等级</w:t>
            </w:r>
          </w:p>
        </w:tc>
        <w:tc>
          <w:tcPr>
            <w:tcW w:w="1696" w:type="dxa"/>
            <w:vAlign w:val="center"/>
          </w:tcPr>
          <w:p>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颁证单位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57" w:type="dxa"/>
            <w:vMerge w:val="restart"/>
            <w:vAlign w:val="center"/>
          </w:tcPr>
          <w:p>
            <w:pPr>
              <w:adjustRightInd w:val="0"/>
              <w:snapToGrid w:val="0"/>
              <w:jc w:val="center"/>
              <w:textAlignment w:val="baseline"/>
              <w:rPr>
                <w:rFonts w:asciiTheme="minorEastAsia" w:hAnsiTheme="minorEastAsia"/>
                <w:szCs w:val="21"/>
              </w:rPr>
            </w:pPr>
            <w:r>
              <w:rPr>
                <w:rFonts w:hint="eastAsia" w:asciiTheme="minorEastAsia" w:hAnsiTheme="minorEastAsia"/>
                <w:szCs w:val="21"/>
              </w:rPr>
              <w:t>工业机器人技术</w:t>
            </w:r>
          </w:p>
        </w:tc>
        <w:tc>
          <w:tcPr>
            <w:tcW w:w="1314" w:type="dxa"/>
            <w:vMerge w:val="restart"/>
            <w:vAlign w:val="center"/>
          </w:tcPr>
          <w:p>
            <w:pPr>
              <w:adjustRightInd w:val="0"/>
              <w:snapToGrid w:val="0"/>
              <w:jc w:val="center"/>
              <w:textAlignment w:val="baseline"/>
              <w:rPr>
                <w:rFonts w:asciiTheme="minorEastAsia" w:hAnsiTheme="minorEastAsia"/>
                <w:szCs w:val="21"/>
              </w:rPr>
            </w:pPr>
            <w:r>
              <w:rPr>
                <w:rFonts w:hint="eastAsia" w:asciiTheme="minorEastAsia" w:hAnsiTheme="minorEastAsia"/>
                <w:szCs w:val="21"/>
              </w:rPr>
              <w:t>工业机器人操作与维护</w:t>
            </w:r>
          </w:p>
        </w:tc>
        <w:tc>
          <w:tcPr>
            <w:tcW w:w="1479" w:type="dxa"/>
            <w:vAlign w:val="center"/>
          </w:tcPr>
          <w:p>
            <w:pPr>
              <w:adjustRightInd w:val="0"/>
              <w:snapToGrid w:val="0"/>
              <w:jc w:val="center"/>
              <w:textAlignment w:val="baseline"/>
              <w:rPr>
                <w:szCs w:val="21"/>
              </w:rPr>
            </w:pPr>
            <w:r>
              <w:rPr>
                <w:rFonts w:hint="eastAsia"/>
                <w:szCs w:val="21"/>
              </w:rPr>
              <w:t>操控技术员</w:t>
            </w:r>
          </w:p>
        </w:tc>
        <w:tc>
          <w:tcPr>
            <w:tcW w:w="1336" w:type="dxa"/>
            <w:vMerge w:val="restart"/>
            <w:vAlign w:val="center"/>
          </w:tcPr>
          <w:p>
            <w:pPr>
              <w:adjustRightInd w:val="0"/>
              <w:snapToGrid w:val="0"/>
              <w:jc w:val="center"/>
              <w:textAlignment w:val="baseline"/>
              <w:rPr>
                <w:rFonts w:asciiTheme="minorEastAsia" w:hAnsiTheme="minorEastAsia"/>
                <w:szCs w:val="21"/>
              </w:rPr>
            </w:pPr>
            <w:r>
              <w:rPr>
                <w:rFonts w:hint="eastAsia" w:asciiTheme="minorEastAsia" w:hAnsiTheme="minorEastAsia"/>
                <w:szCs w:val="21"/>
              </w:rPr>
              <w:t>维修电工证</w:t>
            </w:r>
          </w:p>
        </w:tc>
        <w:tc>
          <w:tcPr>
            <w:tcW w:w="756" w:type="dxa"/>
            <w:vMerge w:val="restart"/>
            <w:vAlign w:val="center"/>
          </w:tcPr>
          <w:p>
            <w:pPr>
              <w:adjustRightInd w:val="0"/>
              <w:snapToGrid w:val="0"/>
              <w:jc w:val="center"/>
              <w:textAlignment w:val="baseline"/>
              <w:rPr>
                <w:rFonts w:asciiTheme="minorEastAsia" w:hAnsiTheme="minorEastAsia"/>
                <w:szCs w:val="21"/>
              </w:rPr>
            </w:pPr>
            <w:r>
              <w:rPr>
                <w:rFonts w:hint="eastAsia" w:asciiTheme="minorEastAsia" w:hAnsiTheme="minorEastAsia"/>
                <w:szCs w:val="21"/>
              </w:rPr>
              <w:t>中级</w:t>
            </w:r>
          </w:p>
        </w:tc>
        <w:tc>
          <w:tcPr>
            <w:tcW w:w="1696" w:type="dxa"/>
            <w:vMerge w:val="restart"/>
            <w:vAlign w:val="center"/>
          </w:tcPr>
          <w:p>
            <w:pPr>
              <w:adjustRightInd w:val="0"/>
              <w:snapToGrid w:val="0"/>
              <w:jc w:val="center"/>
              <w:textAlignment w:val="baseline"/>
              <w:rPr>
                <w:rFonts w:asciiTheme="minorEastAsia" w:hAnsiTheme="minorEastAsia"/>
                <w:szCs w:val="21"/>
              </w:rPr>
            </w:pPr>
            <w:r>
              <w:rPr>
                <w:rFonts w:hint="eastAsia" w:asciiTheme="minorEastAsia" w:hAnsiTheme="minorEastAsia"/>
                <w:szCs w:val="21"/>
              </w:rPr>
              <w:t>中华人民共和国劳动与社会保障部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1457" w:type="dxa"/>
            <w:vMerge w:val="continue"/>
            <w:vAlign w:val="center"/>
          </w:tcPr>
          <w:p>
            <w:pPr>
              <w:adjustRightInd w:val="0"/>
              <w:snapToGrid w:val="0"/>
              <w:jc w:val="center"/>
              <w:textAlignment w:val="baseline"/>
            </w:pPr>
          </w:p>
        </w:tc>
        <w:tc>
          <w:tcPr>
            <w:tcW w:w="1314" w:type="dxa"/>
            <w:vMerge w:val="continue"/>
            <w:vAlign w:val="center"/>
          </w:tcPr>
          <w:p>
            <w:pPr>
              <w:adjustRightInd w:val="0"/>
              <w:snapToGrid w:val="0"/>
              <w:jc w:val="center"/>
              <w:textAlignment w:val="baseline"/>
            </w:pPr>
          </w:p>
        </w:tc>
        <w:tc>
          <w:tcPr>
            <w:tcW w:w="1479" w:type="dxa"/>
            <w:vAlign w:val="center"/>
          </w:tcPr>
          <w:p>
            <w:pPr>
              <w:adjustRightInd w:val="0"/>
              <w:snapToGrid w:val="0"/>
              <w:jc w:val="center"/>
              <w:textAlignment w:val="baseline"/>
              <w:rPr>
                <w:szCs w:val="21"/>
              </w:rPr>
            </w:pPr>
            <w:r>
              <w:rPr>
                <w:rFonts w:hint="eastAsia" w:ascii="宋体" w:hAnsi="宋体"/>
                <w:szCs w:val="21"/>
              </w:rPr>
              <w:t>安装调试员</w:t>
            </w:r>
          </w:p>
        </w:tc>
        <w:tc>
          <w:tcPr>
            <w:tcW w:w="1336" w:type="dxa"/>
            <w:vMerge w:val="continue"/>
            <w:vAlign w:val="center"/>
          </w:tcPr>
          <w:p>
            <w:pPr>
              <w:adjustRightInd w:val="0"/>
              <w:snapToGrid w:val="0"/>
              <w:jc w:val="center"/>
              <w:textAlignment w:val="baseline"/>
              <w:rPr>
                <w:szCs w:val="21"/>
              </w:rPr>
            </w:pPr>
          </w:p>
        </w:tc>
        <w:tc>
          <w:tcPr>
            <w:tcW w:w="756" w:type="dxa"/>
            <w:vMerge w:val="continue"/>
            <w:vAlign w:val="center"/>
          </w:tcPr>
          <w:p>
            <w:pPr>
              <w:adjustRightInd w:val="0"/>
              <w:snapToGrid w:val="0"/>
              <w:jc w:val="center"/>
              <w:textAlignment w:val="baseline"/>
              <w:rPr>
                <w:szCs w:val="21"/>
              </w:rPr>
            </w:pPr>
          </w:p>
        </w:tc>
        <w:tc>
          <w:tcPr>
            <w:tcW w:w="1696" w:type="dxa"/>
            <w:vMerge w:val="continue"/>
            <w:vAlign w:val="center"/>
          </w:tcPr>
          <w:p>
            <w:pPr>
              <w:adjustRightInd w:val="0"/>
              <w:snapToGrid w:val="0"/>
              <w:jc w:val="center"/>
              <w:textAlignment w:val="baseline"/>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57" w:type="dxa"/>
            <w:vMerge w:val="continue"/>
            <w:vAlign w:val="center"/>
          </w:tcPr>
          <w:p>
            <w:pPr>
              <w:adjustRightInd w:val="0"/>
              <w:snapToGrid w:val="0"/>
              <w:jc w:val="center"/>
              <w:textAlignment w:val="baseline"/>
              <w:rPr>
                <w:szCs w:val="21"/>
              </w:rPr>
            </w:pPr>
          </w:p>
        </w:tc>
        <w:tc>
          <w:tcPr>
            <w:tcW w:w="1314" w:type="dxa"/>
            <w:vMerge w:val="continue"/>
            <w:vAlign w:val="center"/>
          </w:tcPr>
          <w:p>
            <w:pPr>
              <w:adjustRightInd w:val="0"/>
              <w:snapToGrid w:val="0"/>
              <w:jc w:val="center"/>
              <w:textAlignment w:val="baseline"/>
              <w:rPr>
                <w:szCs w:val="21"/>
              </w:rPr>
            </w:pPr>
          </w:p>
        </w:tc>
        <w:tc>
          <w:tcPr>
            <w:tcW w:w="1479" w:type="dxa"/>
            <w:vAlign w:val="center"/>
          </w:tcPr>
          <w:p>
            <w:pPr>
              <w:adjustRightInd w:val="0"/>
              <w:snapToGrid w:val="0"/>
              <w:jc w:val="center"/>
              <w:textAlignment w:val="baseline"/>
              <w:rPr>
                <w:szCs w:val="21"/>
              </w:rPr>
            </w:pPr>
            <w:r>
              <w:rPr>
                <w:rFonts w:hint="eastAsia"/>
                <w:szCs w:val="21"/>
              </w:rPr>
              <w:t>编程调试员</w:t>
            </w:r>
          </w:p>
        </w:tc>
        <w:tc>
          <w:tcPr>
            <w:tcW w:w="1336" w:type="dxa"/>
            <w:vMerge w:val="restart"/>
            <w:vAlign w:val="center"/>
          </w:tcPr>
          <w:p>
            <w:pPr>
              <w:adjustRightInd w:val="0"/>
              <w:snapToGrid w:val="0"/>
              <w:jc w:val="center"/>
              <w:textAlignment w:val="baseline"/>
              <w:rPr>
                <w:szCs w:val="21"/>
              </w:rPr>
            </w:pPr>
            <w:r>
              <w:rPr>
                <w:rFonts w:hint="eastAsia"/>
                <w:szCs w:val="21"/>
              </w:rPr>
              <w:t>工业机器人操作与运维证书</w:t>
            </w:r>
          </w:p>
        </w:tc>
        <w:tc>
          <w:tcPr>
            <w:tcW w:w="756" w:type="dxa"/>
            <w:vMerge w:val="continue"/>
            <w:vAlign w:val="center"/>
          </w:tcPr>
          <w:p>
            <w:pPr>
              <w:adjustRightInd w:val="0"/>
              <w:snapToGrid w:val="0"/>
              <w:jc w:val="center"/>
              <w:textAlignment w:val="baseline"/>
              <w:rPr>
                <w:szCs w:val="21"/>
              </w:rPr>
            </w:pPr>
          </w:p>
        </w:tc>
        <w:tc>
          <w:tcPr>
            <w:tcW w:w="1696" w:type="dxa"/>
            <w:vMerge w:val="restart"/>
            <w:vAlign w:val="center"/>
          </w:tcPr>
          <w:p>
            <w:pPr>
              <w:adjustRightInd w:val="0"/>
              <w:snapToGrid w:val="0"/>
              <w:jc w:val="center"/>
              <w:textAlignment w:val="baseline"/>
              <w:rPr>
                <w:szCs w:val="21"/>
              </w:rPr>
            </w:pPr>
            <w:r>
              <w:rPr>
                <w:rFonts w:hint="eastAsia"/>
                <w:szCs w:val="21"/>
              </w:rPr>
              <w:t>中华人民共和国工业和信息化部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57" w:type="dxa"/>
            <w:vMerge w:val="continue"/>
            <w:vAlign w:val="center"/>
          </w:tcPr>
          <w:p>
            <w:pPr>
              <w:adjustRightInd w:val="0"/>
              <w:snapToGrid w:val="0"/>
              <w:jc w:val="center"/>
              <w:textAlignment w:val="baseline"/>
              <w:rPr>
                <w:szCs w:val="21"/>
              </w:rPr>
            </w:pPr>
          </w:p>
        </w:tc>
        <w:tc>
          <w:tcPr>
            <w:tcW w:w="1314" w:type="dxa"/>
            <w:vMerge w:val="continue"/>
            <w:vAlign w:val="center"/>
          </w:tcPr>
          <w:p>
            <w:pPr>
              <w:adjustRightInd w:val="0"/>
              <w:snapToGrid w:val="0"/>
              <w:jc w:val="center"/>
              <w:textAlignment w:val="baseline"/>
              <w:rPr>
                <w:szCs w:val="21"/>
              </w:rPr>
            </w:pPr>
          </w:p>
        </w:tc>
        <w:tc>
          <w:tcPr>
            <w:tcW w:w="1479" w:type="dxa"/>
            <w:vAlign w:val="center"/>
          </w:tcPr>
          <w:p>
            <w:pPr>
              <w:adjustRightInd w:val="0"/>
              <w:snapToGrid w:val="0"/>
              <w:jc w:val="center"/>
              <w:textAlignment w:val="baseline"/>
              <w:rPr>
                <w:szCs w:val="21"/>
              </w:rPr>
            </w:pPr>
            <w:r>
              <w:rPr>
                <w:rFonts w:hint="eastAsia"/>
                <w:szCs w:val="21"/>
              </w:rPr>
              <w:t>系统维修员</w:t>
            </w:r>
          </w:p>
        </w:tc>
        <w:tc>
          <w:tcPr>
            <w:tcW w:w="1336" w:type="dxa"/>
            <w:vMerge w:val="continue"/>
            <w:vAlign w:val="center"/>
          </w:tcPr>
          <w:p>
            <w:pPr>
              <w:adjustRightInd w:val="0"/>
              <w:snapToGrid w:val="0"/>
              <w:jc w:val="center"/>
              <w:textAlignment w:val="baseline"/>
              <w:rPr>
                <w:szCs w:val="21"/>
              </w:rPr>
            </w:pPr>
          </w:p>
        </w:tc>
        <w:tc>
          <w:tcPr>
            <w:tcW w:w="756" w:type="dxa"/>
            <w:vMerge w:val="continue"/>
            <w:vAlign w:val="center"/>
          </w:tcPr>
          <w:p>
            <w:pPr>
              <w:adjustRightInd w:val="0"/>
              <w:snapToGrid w:val="0"/>
              <w:jc w:val="center"/>
              <w:textAlignment w:val="baseline"/>
              <w:rPr>
                <w:szCs w:val="21"/>
              </w:rPr>
            </w:pPr>
          </w:p>
        </w:tc>
        <w:tc>
          <w:tcPr>
            <w:tcW w:w="1696" w:type="dxa"/>
            <w:vMerge w:val="continue"/>
            <w:vAlign w:val="center"/>
          </w:tcPr>
          <w:p>
            <w:pPr>
              <w:adjustRightInd w:val="0"/>
              <w:snapToGrid w:val="0"/>
              <w:jc w:val="center"/>
              <w:textAlignment w:val="baseline"/>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1457" w:type="dxa"/>
            <w:vMerge w:val="continue"/>
          </w:tcPr>
          <w:p>
            <w:pPr>
              <w:adjustRightInd w:val="0"/>
              <w:snapToGrid w:val="0"/>
              <w:jc w:val="center"/>
              <w:textAlignment w:val="baseline"/>
              <w:rPr>
                <w:rFonts w:asciiTheme="minorEastAsia" w:hAnsiTheme="minorEastAsia"/>
                <w:szCs w:val="21"/>
              </w:rPr>
            </w:pPr>
          </w:p>
        </w:tc>
        <w:tc>
          <w:tcPr>
            <w:tcW w:w="1314" w:type="dxa"/>
            <w:vMerge w:val="restart"/>
            <w:vAlign w:val="center"/>
          </w:tcPr>
          <w:p>
            <w:pPr>
              <w:adjustRightInd w:val="0"/>
              <w:snapToGrid w:val="0"/>
              <w:jc w:val="center"/>
              <w:textAlignment w:val="baseline"/>
              <w:rPr>
                <w:rFonts w:asciiTheme="minorEastAsia" w:hAnsiTheme="minorEastAsia"/>
                <w:szCs w:val="21"/>
              </w:rPr>
            </w:pPr>
            <w:r>
              <w:rPr>
                <w:rFonts w:hint="eastAsia" w:asciiTheme="minorEastAsia" w:hAnsiTheme="minorEastAsia"/>
                <w:szCs w:val="21"/>
              </w:rPr>
              <w:t>工业机器人技术服务与营销</w:t>
            </w:r>
          </w:p>
        </w:tc>
        <w:tc>
          <w:tcPr>
            <w:tcW w:w="1479" w:type="dxa"/>
            <w:vAlign w:val="center"/>
          </w:tcPr>
          <w:p>
            <w:pPr>
              <w:adjustRightInd w:val="0"/>
              <w:snapToGrid w:val="0"/>
              <w:jc w:val="center"/>
              <w:textAlignment w:val="baseline"/>
              <w:rPr>
                <w:szCs w:val="21"/>
              </w:rPr>
            </w:pPr>
            <w:r>
              <w:rPr>
                <w:rFonts w:hint="eastAsia" w:ascii="宋体" w:hAnsi="宋体"/>
                <w:szCs w:val="21"/>
              </w:rPr>
              <w:t>安装调试员</w:t>
            </w:r>
          </w:p>
        </w:tc>
        <w:tc>
          <w:tcPr>
            <w:tcW w:w="1336" w:type="dxa"/>
            <w:vAlign w:val="center"/>
          </w:tcPr>
          <w:p>
            <w:pPr>
              <w:adjustRightInd w:val="0"/>
              <w:snapToGrid w:val="0"/>
              <w:jc w:val="center"/>
              <w:textAlignment w:val="baseline"/>
              <w:rPr>
                <w:rFonts w:asciiTheme="minorEastAsia" w:hAnsiTheme="minorEastAsia"/>
                <w:szCs w:val="21"/>
              </w:rPr>
            </w:pPr>
            <w:r>
              <w:rPr>
                <w:rFonts w:hint="eastAsia" w:asciiTheme="minorEastAsia" w:hAnsiTheme="minorEastAsia"/>
                <w:szCs w:val="21"/>
              </w:rPr>
              <w:t>维修电工证</w:t>
            </w:r>
          </w:p>
        </w:tc>
        <w:tc>
          <w:tcPr>
            <w:tcW w:w="756" w:type="dxa"/>
            <w:vMerge w:val="restart"/>
            <w:vAlign w:val="center"/>
          </w:tcPr>
          <w:p>
            <w:pPr>
              <w:adjustRightInd w:val="0"/>
              <w:snapToGrid w:val="0"/>
              <w:jc w:val="center"/>
              <w:textAlignment w:val="baseline"/>
              <w:rPr>
                <w:rFonts w:asciiTheme="minorEastAsia" w:hAnsiTheme="minorEastAsia"/>
                <w:szCs w:val="21"/>
              </w:rPr>
            </w:pPr>
            <w:r>
              <w:rPr>
                <w:rFonts w:hint="eastAsia" w:asciiTheme="minorEastAsia" w:hAnsiTheme="minorEastAsia"/>
                <w:szCs w:val="21"/>
              </w:rPr>
              <w:t>中级</w:t>
            </w:r>
          </w:p>
        </w:tc>
        <w:tc>
          <w:tcPr>
            <w:tcW w:w="1696" w:type="dxa"/>
            <w:vAlign w:val="center"/>
          </w:tcPr>
          <w:p>
            <w:pPr>
              <w:adjustRightInd w:val="0"/>
              <w:snapToGrid w:val="0"/>
              <w:jc w:val="center"/>
              <w:textAlignment w:val="baseline"/>
              <w:rPr>
                <w:rFonts w:asciiTheme="minorEastAsia" w:hAnsiTheme="minorEastAsia"/>
                <w:szCs w:val="21"/>
              </w:rPr>
            </w:pPr>
            <w:r>
              <w:rPr>
                <w:rFonts w:hint="eastAsia" w:asciiTheme="minorEastAsia" w:hAnsiTheme="minorEastAsia"/>
                <w:szCs w:val="21"/>
              </w:rPr>
              <w:t>中华人民共和国劳动与社会保障部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57" w:type="dxa"/>
            <w:vMerge w:val="continue"/>
          </w:tcPr>
          <w:p>
            <w:pPr>
              <w:adjustRightInd w:val="0"/>
              <w:snapToGrid w:val="0"/>
              <w:jc w:val="center"/>
              <w:textAlignment w:val="baseline"/>
            </w:pPr>
          </w:p>
        </w:tc>
        <w:tc>
          <w:tcPr>
            <w:tcW w:w="1314" w:type="dxa"/>
            <w:vMerge w:val="continue"/>
            <w:vAlign w:val="center"/>
          </w:tcPr>
          <w:p>
            <w:pPr>
              <w:adjustRightInd w:val="0"/>
              <w:snapToGrid w:val="0"/>
              <w:jc w:val="center"/>
              <w:textAlignment w:val="baseline"/>
            </w:pPr>
          </w:p>
        </w:tc>
        <w:tc>
          <w:tcPr>
            <w:tcW w:w="1479" w:type="dxa"/>
            <w:vAlign w:val="center"/>
          </w:tcPr>
          <w:p>
            <w:pPr>
              <w:adjustRightInd w:val="0"/>
              <w:snapToGrid w:val="0"/>
              <w:jc w:val="center"/>
              <w:textAlignment w:val="baseline"/>
              <w:rPr>
                <w:szCs w:val="21"/>
              </w:rPr>
            </w:pPr>
            <w:r>
              <w:rPr>
                <w:rFonts w:hint="eastAsia"/>
                <w:szCs w:val="21"/>
              </w:rPr>
              <w:t>系统维修员</w:t>
            </w:r>
          </w:p>
        </w:tc>
        <w:tc>
          <w:tcPr>
            <w:tcW w:w="1336" w:type="dxa"/>
            <w:vMerge w:val="restart"/>
            <w:vAlign w:val="center"/>
          </w:tcPr>
          <w:p>
            <w:pPr>
              <w:adjustRightInd w:val="0"/>
              <w:snapToGrid w:val="0"/>
              <w:jc w:val="center"/>
              <w:textAlignment w:val="baseline"/>
              <w:rPr>
                <w:szCs w:val="21"/>
              </w:rPr>
            </w:pPr>
            <w:r>
              <w:rPr>
                <w:rFonts w:hint="eastAsia"/>
                <w:szCs w:val="21"/>
              </w:rPr>
              <w:t>工业机器人操作与运维证书</w:t>
            </w:r>
          </w:p>
        </w:tc>
        <w:tc>
          <w:tcPr>
            <w:tcW w:w="756" w:type="dxa"/>
            <w:vMerge w:val="continue"/>
            <w:vAlign w:val="center"/>
          </w:tcPr>
          <w:p>
            <w:pPr>
              <w:adjustRightInd w:val="0"/>
              <w:snapToGrid w:val="0"/>
              <w:jc w:val="center"/>
              <w:textAlignment w:val="baseline"/>
              <w:rPr>
                <w:szCs w:val="21"/>
              </w:rPr>
            </w:pPr>
          </w:p>
        </w:tc>
        <w:tc>
          <w:tcPr>
            <w:tcW w:w="1696" w:type="dxa"/>
            <w:vMerge w:val="restart"/>
            <w:vAlign w:val="center"/>
          </w:tcPr>
          <w:p>
            <w:pPr>
              <w:adjustRightInd w:val="0"/>
              <w:snapToGrid w:val="0"/>
              <w:jc w:val="center"/>
              <w:textAlignment w:val="baseline"/>
              <w:rPr>
                <w:szCs w:val="21"/>
              </w:rPr>
            </w:pPr>
            <w:r>
              <w:rPr>
                <w:rFonts w:hint="eastAsia"/>
                <w:szCs w:val="21"/>
              </w:rPr>
              <w:t>中华人民共和国工业和信息化部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1" w:hRule="atLeast"/>
        </w:trPr>
        <w:tc>
          <w:tcPr>
            <w:tcW w:w="1457" w:type="dxa"/>
            <w:vMerge w:val="continue"/>
          </w:tcPr>
          <w:p>
            <w:pPr>
              <w:adjustRightInd w:val="0"/>
              <w:spacing w:line="360" w:lineRule="auto"/>
              <w:jc w:val="center"/>
              <w:textAlignment w:val="baseline"/>
              <w:rPr>
                <w:szCs w:val="21"/>
              </w:rPr>
            </w:pPr>
          </w:p>
        </w:tc>
        <w:tc>
          <w:tcPr>
            <w:tcW w:w="1314" w:type="dxa"/>
            <w:vMerge w:val="continue"/>
            <w:vAlign w:val="center"/>
          </w:tcPr>
          <w:p>
            <w:pPr>
              <w:adjustRightInd w:val="0"/>
              <w:spacing w:line="360" w:lineRule="auto"/>
              <w:jc w:val="center"/>
              <w:textAlignment w:val="baseline"/>
              <w:rPr>
                <w:szCs w:val="21"/>
              </w:rPr>
            </w:pPr>
          </w:p>
        </w:tc>
        <w:tc>
          <w:tcPr>
            <w:tcW w:w="1479" w:type="dxa"/>
            <w:vAlign w:val="center"/>
          </w:tcPr>
          <w:p>
            <w:pPr>
              <w:adjustRightInd w:val="0"/>
              <w:spacing w:line="360" w:lineRule="auto"/>
              <w:jc w:val="center"/>
              <w:textAlignment w:val="baseline"/>
              <w:rPr>
                <w:szCs w:val="21"/>
              </w:rPr>
            </w:pPr>
            <w:r>
              <w:rPr>
                <w:rFonts w:hint="eastAsia"/>
                <w:szCs w:val="21"/>
              </w:rPr>
              <w:t>工业机器人销售</w:t>
            </w:r>
          </w:p>
        </w:tc>
        <w:tc>
          <w:tcPr>
            <w:tcW w:w="1336" w:type="dxa"/>
            <w:vMerge w:val="continue"/>
            <w:vAlign w:val="center"/>
          </w:tcPr>
          <w:p>
            <w:pPr>
              <w:adjustRightInd w:val="0"/>
              <w:spacing w:line="360" w:lineRule="auto"/>
              <w:jc w:val="center"/>
              <w:textAlignment w:val="baseline"/>
              <w:rPr>
                <w:szCs w:val="21"/>
              </w:rPr>
            </w:pPr>
          </w:p>
        </w:tc>
        <w:tc>
          <w:tcPr>
            <w:tcW w:w="756" w:type="dxa"/>
            <w:vMerge w:val="continue"/>
            <w:vAlign w:val="center"/>
          </w:tcPr>
          <w:p>
            <w:pPr>
              <w:adjustRightInd w:val="0"/>
              <w:spacing w:line="360" w:lineRule="auto"/>
              <w:jc w:val="center"/>
              <w:textAlignment w:val="baseline"/>
              <w:rPr>
                <w:szCs w:val="21"/>
              </w:rPr>
            </w:pPr>
          </w:p>
        </w:tc>
        <w:tc>
          <w:tcPr>
            <w:tcW w:w="1696" w:type="dxa"/>
            <w:vMerge w:val="continue"/>
            <w:vAlign w:val="center"/>
          </w:tcPr>
          <w:p>
            <w:pPr>
              <w:adjustRightInd w:val="0"/>
              <w:spacing w:line="360" w:lineRule="auto"/>
              <w:jc w:val="center"/>
              <w:textAlignment w:val="baseline"/>
              <w:rPr>
                <w:szCs w:val="21"/>
              </w:rPr>
            </w:pPr>
          </w:p>
        </w:tc>
      </w:tr>
    </w:tbl>
    <w:p>
      <w:pPr>
        <w:pStyle w:val="2"/>
        <w:ind w:firstLine="549"/>
        <w:rPr>
          <w:rFonts w:ascii="微软雅黑" w:hAnsi="微软雅黑" w:eastAsia="微软雅黑" w:cs="Times New Roman"/>
          <w:b/>
          <w:color w:val="auto"/>
          <w:sz w:val="28"/>
          <w:szCs w:val="28"/>
        </w:rPr>
      </w:pPr>
      <w:r>
        <w:rPr>
          <w:rFonts w:hint="eastAsia" w:ascii="微软雅黑" w:hAnsi="微软雅黑" w:eastAsia="微软雅黑" w:cs="Times New Roman"/>
          <w:b/>
          <w:color w:val="auto"/>
          <w:sz w:val="28"/>
          <w:szCs w:val="28"/>
        </w:rPr>
        <w:t>（四）专业核心课程</w:t>
      </w:r>
    </w:p>
    <w:p>
      <w:pPr>
        <w:widowControl/>
        <w:ind w:firstLine="560" w:firstLineChars="200"/>
        <w:textAlignment w:val="center"/>
        <w:rPr>
          <w:rFonts w:ascii="宋体" w:hAnsi="宋体" w:eastAsia="宋体"/>
          <w:sz w:val="28"/>
          <w:szCs w:val="28"/>
        </w:rPr>
      </w:pPr>
      <w:r>
        <w:rPr>
          <w:rFonts w:hint="eastAsia" w:ascii="宋体" w:hAnsi="宋体" w:eastAsia="宋体"/>
          <w:sz w:val="28"/>
          <w:szCs w:val="28"/>
        </w:rPr>
        <w:t>PLC应用技术、工业机器人认知、工业机器人三维建模、工业机器人虚拟仿真、工业机器人现场编程、自动化生产线安装调试、工业机器人故障诊断等。</w:t>
      </w:r>
    </w:p>
    <w:p>
      <w:pPr>
        <w:pStyle w:val="2"/>
        <w:ind w:firstLine="549"/>
        <w:rPr>
          <w:rFonts w:ascii="微软雅黑" w:hAnsi="微软雅黑" w:eastAsia="微软雅黑" w:cs="Times New Roman"/>
          <w:b/>
          <w:color w:val="auto"/>
          <w:sz w:val="28"/>
          <w:szCs w:val="28"/>
        </w:rPr>
      </w:pPr>
      <w:r>
        <w:rPr>
          <w:rFonts w:hint="eastAsia" w:ascii="微软雅黑" w:hAnsi="微软雅黑" w:eastAsia="微软雅黑" w:cs="Times New Roman"/>
          <w:b/>
          <w:color w:val="auto"/>
          <w:sz w:val="28"/>
          <w:szCs w:val="28"/>
        </w:rPr>
        <w:t>（五）毕业资格条件</w:t>
      </w:r>
    </w:p>
    <w:p>
      <w:pPr>
        <w:pStyle w:val="3"/>
        <w:spacing w:before="312" w:beforeLines="100" w:after="312" w:afterLines="100" w:line="400" w:lineRule="exact"/>
        <w:ind w:firstLine="640"/>
        <w:rPr>
          <w:rFonts w:cs="Times New Roman"/>
          <w:sz w:val="32"/>
          <w:szCs w:val="32"/>
        </w:rPr>
      </w:pPr>
      <w:r>
        <w:rPr>
          <w:rFonts w:hint="eastAsia" w:cs="Times New Roman"/>
          <w:sz w:val="32"/>
          <w:szCs w:val="32"/>
        </w:rPr>
        <w:t>1</w:t>
      </w:r>
      <w:r>
        <w:rPr>
          <w:rFonts w:cs="Times New Roman"/>
          <w:sz w:val="32"/>
          <w:szCs w:val="32"/>
        </w:rPr>
        <w:t>.</w:t>
      </w:r>
      <w:r>
        <w:rPr>
          <w:rFonts w:hint="eastAsia" w:cs="Times New Roman"/>
          <w:sz w:val="32"/>
          <w:szCs w:val="32"/>
        </w:rPr>
        <w:t>学分要求</w:t>
      </w:r>
    </w:p>
    <w:p>
      <w:pPr>
        <w:ind w:firstLine="555"/>
        <w:rPr>
          <w:rFonts w:ascii="宋体" w:hAnsi="宋体" w:eastAsia="宋体"/>
          <w:sz w:val="28"/>
          <w:szCs w:val="28"/>
        </w:rPr>
      </w:pPr>
      <w:r>
        <w:rPr>
          <w:rFonts w:hint="eastAsia" w:ascii="宋体" w:hAnsi="宋体" w:eastAsia="宋体"/>
          <w:sz w:val="28"/>
          <w:szCs w:val="28"/>
        </w:rPr>
        <w:t>为保证学生素质的全面提升，学生毕业共须修满155.5学分，其中通识必修课应修满46.5学分，通识限选课修满8学分, 通识任选课修满2学分；专业必修课修满51学分，专业限选课至少修满41学分,专业任选课至少修满2学分；素质拓展课程修满10学分，社会实践课程修满5学分。各类课程学分可根据《江苏海院学分积累、转换和认定办法》予以认定和转换。工业机器人技术专业是结合“1+X”证书制度，“工业机器人操作与运维‘1+X’”证书可转换《工业机器人现场编程》课程2学分。</w:t>
      </w:r>
    </w:p>
    <w:p>
      <w:pPr>
        <w:pStyle w:val="3"/>
        <w:spacing w:before="312" w:beforeLines="100" w:after="312" w:afterLines="100" w:line="400" w:lineRule="exact"/>
        <w:ind w:firstLine="640"/>
        <w:rPr>
          <w:rFonts w:cs="Times New Roman"/>
          <w:sz w:val="32"/>
          <w:szCs w:val="32"/>
        </w:rPr>
      </w:pPr>
      <w:r>
        <w:rPr>
          <w:rFonts w:hint="eastAsia" w:cs="Times New Roman"/>
          <w:sz w:val="32"/>
          <w:szCs w:val="32"/>
        </w:rPr>
        <w:t>2</w:t>
      </w:r>
      <w:r>
        <w:rPr>
          <w:rFonts w:cs="Times New Roman"/>
          <w:sz w:val="32"/>
          <w:szCs w:val="32"/>
        </w:rPr>
        <w:t>.</w:t>
      </w:r>
      <w:r>
        <w:rPr>
          <w:rFonts w:hint="eastAsia" w:cs="Times New Roman"/>
          <w:sz w:val="32"/>
          <w:szCs w:val="32"/>
        </w:rPr>
        <w:t>外语水平要求</w:t>
      </w:r>
    </w:p>
    <w:p>
      <w:pPr>
        <w:ind w:firstLine="560" w:firstLineChars="200"/>
        <w:rPr>
          <w:rFonts w:ascii="宋体" w:hAnsi="宋体" w:eastAsia="宋体" w:cs="宋体"/>
          <w:kern w:val="0"/>
          <w:sz w:val="28"/>
          <w:szCs w:val="28"/>
        </w:rPr>
      </w:pPr>
      <w:r>
        <w:rPr>
          <w:rFonts w:hint="eastAsia" w:ascii="宋体" w:hAnsi="宋体" w:eastAsia="宋体" w:cs="宋体"/>
          <w:kern w:val="0"/>
          <w:sz w:val="28"/>
          <w:szCs w:val="28"/>
        </w:rPr>
        <w:t>能熟练运用英语进行简单的交流，完成校内英语类课程学习，取得相应学分。为鼓励学生考取更高等级英语证书，对于考取江苏省高校英语应用能力考试A级及以上或口语证书的学生，可以用证书置换高职英语课程学分，成绩认定为85分（A级或口语）、90分（四级）或95分（六级），可申请课程免修。</w:t>
      </w:r>
    </w:p>
    <w:p>
      <w:pPr>
        <w:pStyle w:val="3"/>
        <w:spacing w:before="312" w:beforeLines="100" w:after="312" w:afterLines="100" w:line="400" w:lineRule="exact"/>
        <w:ind w:firstLine="640"/>
        <w:rPr>
          <w:rFonts w:cs="Times New Roman"/>
          <w:sz w:val="32"/>
          <w:szCs w:val="32"/>
        </w:rPr>
      </w:pPr>
      <w:r>
        <w:rPr>
          <w:rFonts w:cs="Times New Roman"/>
          <w:sz w:val="32"/>
          <w:szCs w:val="32"/>
        </w:rPr>
        <w:t>3.</w:t>
      </w:r>
      <w:r>
        <w:rPr>
          <w:rFonts w:hint="eastAsia" w:cs="Times New Roman"/>
          <w:sz w:val="32"/>
          <w:szCs w:val="32"/>
        </w:rPr>
        <w:t>计算机能力要求</w:t>
      </w:r>
    </w:p>
    <w:p>
      <w:pPr>
        <w:pStyle w:val="3"/>
        <w:spacing w:before="312" w:beforeLines="100" w:after="312" w:afterLines="100" w:line="360" w:lineRule="auto"/>
        <w:rPr>
          <w:rFonts w:hint="eastAsia" w:ascii="宋体" w:hAnsi="宋体" w:eastAsia="宋体" w:cs="宋体"/>
          <w:color w:val="auto"/>
          <w:kern w:val="0"/>
        </w:rPr>
      </w:pPr>
      <w:r>
        <w:rPr>
          <w:rFonts w:hint="eastAsia" w:ascii="宋体" w:hAnsi="宋体" w:eastAsia="宋体" w:cs="宋体"/>
          <w:color w:val="auto"/>
          <w:kern w:val="0"/>
        </w:rPr>
        <w:t>学生应完成信息技术类课程的学习，并取得相应学分，计算机证书不作为毕业资格要求。如学生考取计算机证书，信息技术类课程实现课程融通，即学生考取全国计算机ATA证书或江苏省计算机等级考试一级证书可申请信息技术类课程免修，直接置换对应学分。</w:t>
      </w:r>
    </w:p>
    <w:p>
      <w:pPr>
        <w:pStyle w:val="3"/>
        <w:spacing w:before="312" w:beforeLines="100" w:after="312" w:afterLines="100" w:line="400" w:lineRule="exact"/>
        <w:ind w:firstLine="640"/>
        <w:rPr>
          <w:rFonts w:cs="Times New Roman"/>
          <w:sz w:val="32"/>
          <w:szCs w:val="32"/>
        </w:rPr>
      </w:pPr>
      <w:r>
        <w:rPr>
          <w:rFonts w:cs="Times New Roman"/>
          <w:sz w:val="32"/>
          <w:szCs w:val="32"/>
        </w:rPr>
        <w:t>4.</w:t>
      </w:r>
      <w:r>
        <w:rPr>
          <w:rFonts w:hint="eastAsia" w:cs="Times New Roman"/>
          <w:sz w:val="32"/>
          <w:szCs w:val="32"/>
        </w:rPr>
        <w:t>职业资格和职业技能证书要求</w:t>
      </w:r>
    </w:p>
    <w:tbl>
      <w:tblPr>
        <w:tblStyle w:val="29"/>
        <w:tblpPr w:leftFromText="180" w:rightFromText="180" w:vertAnchor="text" w:horzAnchor="page" w:tblpX="2236" w:tblpY="9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659"/>
        <w:gridCol w:w="1185"/>
        <w:gridCol w:w="2133"/>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659" w:type="dxa"/>
            <w:vAlign w:val="center"/>
          </w:tcPr>
          <w:p>
            <w:pPr>
              <w:adjustRightInd w:val="0"/>
              <w:snapToGrid w:val="0"/>
              <w:jc w:val="center"/>
              <w:rPr>
                <w:rFonts w:ascii="宋体" w:hAnsi="宋体"/>
                <w:kern w:val="0"/>
                <w:szCs w:val="21"/>
              </w:rPr>
            </w:pPr>
            <w:r>
              <w:rPr>
                <w:rFonts w:hint="eastAsia" w:ascii="宋体" w:hAnsi="宋体"/>
                <w:kern w:val="0"/>
                <w:szCs w:val="21"/>
              </w:rPr>
              <w:t>证书名称</w:t>
            </w:r>
          </w:p>
        </w:tc>
        <w:tc>
          <w:tcPr>
            <w:tcW w:w="1659" w:type="dxa"/>
            <w:vAlign w:val="center"/>
          </w:tcPr>
          <w:p>
            <w:pPr>
              <w:adjustRightInd w:val="0"/>
              <w:snapToGrid w:val="0"/>
              <w:jc w:val="center"/>
              <w:rPr>
                <w:rFonts w:ascii="宋体" w:hAnsi="宋体"/>
                <w:kern w:val="0"/>
                <w:szCs w:val="21"/>
              </w:rPr>
            </w:pPr>
            <w:r>
              <w:rPr>
                <w:rFonts w:hint="eastAsia" w:ascii="宋体" w:hAnsi="宋体"/>
                <w:kern w:val="0"/>
                <w:szCs w:val="21"/>
              </w:rPr>
              <w:t>颁证机构</w:t>
            </w:r>
          </w:p>
        </w:tc>
        <w:tc>
          <w:tcPr>
            <w:tcW w:w="1185" w:type="dxa"/>
            <w:vAlign w:val="center"/>
          </w:tcPr>
          <w:p>
            <w:pPr>
              <w:adjustRightInd w:val="0"/>
              <w:snapToGrid w:val="0"/>
              <w:jc w:val="center"/>
              <w:rPr>
                <w:rFonts w:ascii="宋体" w:hAnsi="宋体"/>
                <w:kern w:val="0"/>
                <w:szCs w:val="21"/>
              </w:rPr>
            </w:pPr>
            <w:r>
              <w:rPr>
                <w:rFonts w:hint="eastAsia" w:ascii="宋体" w:hAnsi="宋体"/>
                <w:kern w:val="0"/>
                <w:szCs w:val="21"/>
              </w:rPr>
              <w:t>取证要求</w:t>
            </w:r>
          </w:p>
        </w:tc>
        <w:tc>
          <w:tcPr>
            <w:tcW w:w="2133" w:type="dxa"/>
            <w:vAlign w:val="center"/>
          </w:tcPr>
          <w:p>
            <w:pPr>
              <w:adjustRightInd w:val="0"/>
              <w:snapToGrid w:val="0"/>
              <w:jc w:val="center"/>
              <w:rPr>
                <w:rFonts w:ascii="宋体" w:hAnsi="宋体"/>
                <w:kern w:val="0"/>
                <w:szCs w:val="21"/>
              </w:rPr>
            </w:pPr>
            <w:r>
              <w:rPr>
                <w:rFonts w:hint="eastAsia" w:ascii="宋体" w:hAnsi="宋体"/>
                <w:kern w:val="0"/>
                <w:szCs w:val="21"/>
              </w:rPr>
              <w:t>主要支撑课程</w:t>
            </w:r>
          </w:p>
        </w:tc>
        <w:tc>
          <w:tcPr>
            <w:tcW w:w="1660" w:type="dxa"/>
            <w:vAlign w:val="center"/>
          </w:tcPr>
          <w:p>
            <w:pPr>
              <w:adjustRightInd w:val="0"/>
              <w:snapToGrid w:val="0"/>
              <w:jc w:val="center"/>
              <w:rPr>
                <w:rFonts w:ascii="宋体" w:hAnsi="宋体"/>
                <w:kern w:val="0"/>
                <w:szCs w:val="21"/>
              </w:rPr>
            </w:pPr>
            <w:r>
              <w:rPr>
                <w:rFonts w:hint="eastAsia" w:ascii="宋体" w:hAnsi="宋体"/>
                <w:kern w:val="0"/>
                <w:szCs w:val="21"/>
              </w:rPr>
              <w:t>建议获取时间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659" w:type="dxa"/>
            <w:vAlign w:val="center"/>
          </w:tcPr>
          <w:p>
            <w:pPr>
              <w:jc w:val="center"/>
              <w:rPr>
                <w:kern w:val="0"/>
                <w:szCs w:val="20"/>
              </w:rPr>
            </w:pPr>
            <w:r>
              <w:rPr>
                <w:rFonts w:hint="eastAsia"/>
                <w:kern w:val="0"/>
                <w:szCs w:val="21"/>
              </w:rPr>
              <w:t>1+X 工业机器人操作与运维</w:t>
            </w:r>
          </w:p>
        </w:tc>
        <w:tc>
          <w:tcPr>
            <w:tcW w:w="1659" w:type="dxa"/>
            <w:vAlign w:val="center"/>
          </w:tcPr>
          <w:p>
            <w:pPr>
              <w:rPr>
                <w:kern w:val="0"/>
                <w:szCs w:val="20"/>
              </w:rPr>
            </w:pPr>
            <w:r>
              <w:rPr>
                <w:rFonts w:hint="eastAsia"/>
                <w:kern w:val="0"/>
                <w:szCs w:val="20"/>
              </w:rPr>
              <w:t>培训评价组织</w:t>
            </w:r>
          </w:p>
        </w:tc>
        <w:tc>
          <w:tcPr>
            <w:tcW w:w="1185" w:type="dxa"/>
            <w:vAlign w:val="center"/>
          </w:tcPr>
          <w:p>
            <w:pPr>
              <w:jc w:val="center"/>
              <w:rPr>
                <w:kern w:val="0"/>
                <w:szCs w:val="20"/>
              </w:rPr>
            </w:pPr>
            <w:r>
              <w:rPr>
                <w:rFonts w:hint="eastAsia"/>
                <w:kern w:val="0"/>
                <w:szCs w:val="20"/>
              </w:rPr>
              <w:t>建议获得</w:t>
            </w:r>
          </w:p>
        </w:tc>
        <w:tc>
          <w:tcPr>
            <w:tcW w:w="2133" w:type="dxa"/>
            <w:vAlign w:val="center"/>
          </w:tcPr>
          <w:p>
            <w:pPr>
              <w:jc w:val="center"/>
              <w:rPr>
                <w:kern w:val="0"/>
                <w:szCs w:val="20"/>
              </w:rPr>
            </w:pPr>
            <w:r>
              <w:rPr>
                <w:rFonts w:hint="eastAsia"/>
                <w:kern w:val="0"/>
                <w:szCs w:val="20"/>
              </w:rPr>
              <w:t>工业机器人认知</w:t>
            </w:r>
          </w:p>
          <w:p>
            <w:pPr>
              <w:jc w:val="center"/>
              <w:rPr>
                <w:kern w:val="0"/>
                <w:szCs w:val="20"/>
              </w:rPr>
            </w:pPr>
            <w:r>
              <w:rPr>
                <w:rFonts w:hint="eastAsia"/>
                <w:kern w:val="0"/>
                <w:szCs w:val="20"/>
              </w:rPr>
              <w:t>工业机器人现场编程</w:t>
            </w:r>
          </w:p>
        </w:tc>
        <w:tc>
          <w:tcPr>
            <w:tcW w:w="1660" w:type="dxa"/>
            <w:vAlign w:val="center"/>
          </w:tcPr>
          <w:p>
            <w:pPr>
              <w:jc w:val="center"/>
              <w:rPr>
                <w:kern w:val="0"/>
                <w:szCs w:val="20"/>
              </w:rPr>
            </w:pPr>
            <w:r>
              <w:rPr>
                <w:rFonts w:hint="eastAsia"/>
                <w:kern w:val="0"/>
                <w:szCs w:val="20"/>
              </w:rPr>
              <w:t>第五学期</w:t>
            </w:r>
          </w:p>
        </w:tc>
      </w:tr>
    </w:tbl>
    <w:p>
      <w:pPr>
        <w:pStyle w:val="3"/>
        <w:spacing w:before="312" w:beforeLines="100" w:after="312" w:afterLines="100" w:line="400" w:lineRule="exact"/>
        <w:ind w:firstLine="640"/>
        <w:rPr>
          <w:rFonts w:cs="Times New Roman"/>
          <w:sz w:val="32"/>
          <w:szCs w:val="32"/>
        </w:rPr>
      </w:pPr>
      <w:r>
        <w:rPr>
          <w:rFonts w:cs="Times New Roman"/>
          <w:sz w:val="32"/>
          <w:szCs w:val="32"/>
        </w:rPr>
        <w:t>5.</w:t>
      </w:r>
      <w:r>
        <w:rPr>
          <w:rFonts w:hint="eastAsia" w:cs="Times New Roman"/>
          <w:sz w:val="32"/>
          <w:szCs w:val="32"/>
        </w:rPr>
        <w:t>操行合格要求</w:t>
      </w:r>
    </w:p>
    <w:p>
      <w:pPr>
        <w:ind w:firstLine="555"/>
        <w:rPr>
          <w:rFonts w:ascii="宋体" w:hAnsi="宋体" w:eastAsia="宋体"/>
          <w:sz w:val="28"/>
          <w:szCs w:val="28"/>
        </w:rPr>
      </w:pPr>
      <w:r>
        <w:rPr>
          <w:rFonts w:hint="eastAsia" w:ascii="宋体" w:hAnsi="宋体" w:eastAsia="宋体"/>
          <w:sz w:val="28"/>
          <w:szCs w:val="28"/>
        </w:rPr>
        <w:t>根据《江苏海事职业技术学院学生操行积分管理办法》对学生进行德育素质考核，考核结果合格及以上。</w:t>
      </w:r>
    </w:p>
    <w:p>
      <w:pPr>
        <w:pStyle w:val="3"/>
        <w:spacing w:before="312" w:beforeLines="100" w:after="312" w:afterLines="100" w:line="400" w:lineRule="exact"/>
        <w:ind w:firstLine="640"/>
        <w:rPr>
          <w:rFonts w:cs="Times New Roman"/>
          <w:sz w:val="32"/>
          <w:szCs w:val="32"/>
        </w:rPr>
      </w:pPr>
      <w:r>
        <w:rPr>
          <w:rFonts w:cs="Times New Roman"/>
          <w:sz w:val="32"/>
          <w:szCs w:val="32"/>
        </w:rPr>
        <w:t>6.</w:t>
      </w:r>
      <w:r>
        <w:rPr>
          <w:rFonts w:hint="eastAsia" w:cs="Times New Roman"/>
          <w:sz w:val="32"/>
          <w:szCs w:val="32"/>
        </w:rPr>
        <w:t>体质合格要求</w:t>
      </w:r>
    </w:p>
    <w:p>
      <w:pPr>
        <w:ind w:firstLine="555"/>
        <w:rPr>
          <w:rFonts w:ascii="宋体" w:hAnsi="宋体" w:eastAsia="宋体"/>
          <w:sz w:val="28"/>
          <w:szCs w:val="28"/>
        </w:rPr>
      </w:pPr>
      <w:r>
        <w:rPr>
          <w:rFonts w:hint="eastAsia" w:ascii="宋体" w:hAnsi="宋体" w:eastAsia="宋体"/>
          <w:sz w:val="28"/>
          <w:szCs w:val="28"/>
        </w:rPr>
        <w:t>根据《国家学生体质健康标准》对学生进行体质测试，考核结果合格以上。</w:t>
      </w:r>
    </w:p>
    <w:p>
      <w:pPr>
        <w:pStyle w:val="2"/>
        <w:ind w:firstLine="549"/>
        <w:rPr>
          <w:rFonts w:ascii="微软雅黑" w:hAnsi="微软雅黑" w:eastAsia="微软雅黑" w:cs="Times New Roman"/>
          <w:b/>
          <w:color w:val="auto"/>
          <w:sz w:val="28"/>
          <w:szCs w:val="28"/>
        </w:rPr>
      </w:pPr>
      <w:r>
        <w:rPr>
          <w:rFonts w:hint="eastAsia" w:ascii="微软雅黑" w:hAnsi="微软雅黑" w:eastAsia="微软雅黑" w:cs="Times New Roman"/>
          <w:b/>
          <w:color w:val="auto"/>
          <w:sz w:val="28"/>
          <w:szCs w:val="28"/>
        </w:rPr>
        <w:t>二</w:t>
      </w:r>
      <w:r>
        <w:rPr>
          <w:rFonts w:ascii="微软雅黑" w:hAnsi="微软雅黑" w:eastAsia="微软雅黑" w:cs="Times New Roman"/>
          <w:b/>
          <w:color w:val="auto"/>
          <w:sz w:val="28"/>
          <w:szCs w:val="28"/>
        </w:rPr>
        <w:t>、</w:t>
      </w:r>
      <w:r>
        <w:rPr>
          <w:rFonts w:hint="eastAsia" w:ascii="微软雅黑" w:hAnsi="微软雅黑" w:eastAsia="微软雅黑" w:cs="Times New Roman"/>
          <w:b/>
          <w:color w:val="auto"/>
          <w:sz w:val="28"/>
          <w:szCs w:val="28"/>
        </w:rPr>
        <w:t>转专业录取办法</w:t>
      </w:r>
    </w:p>
    <w:p>
      <w:pPr>
        <w:pStyle w:val="2"/>
        <w:ind w:firstLine="549"/>
        <w:rPr>
          <w:rFonts w:ascii="微软雅黑" w:hAnsi="微软雅黑" w:eastAsia="微软雅黑" w:cs="Times New Roman"/>
          <w:b/>
          <w:color w:val="auto"/>
          <w:sz w:val="28"/>
          <w:szCs w:val="28"/>
        </w:rPr>
      </w:pPr>
      <w:r>
        <w:rPr>
          <w:rFonts w:ascii="微软雅黑" w:hAnsi="微软雅黑" w:eastAsia="微软雅黑" w:cs="Times New Roman"/>
          <w:b/>
          <w:color w:val="auto"/>
          <w:sz w:val="28"/>
          <w:szCs w:val="28"/>
        </w:rPr>
        <w:t>（</w:t>
      </w:r>
      <w:r>
        <w:rPr>
          <w:rFonts w:hint="eastAsia" w:ascii="微软雅黑" w:hAnsi="微软雅黑" w:eastAsia="微软雅黑" w:cs="Times New Roman"/>
          <w:b/>
          <w:color w:val="auto"/>
          <w:sz w:val="28"/>
          <w:szCs w:val="28"/>
        </w:rPr>
        <w:t>一</w:t>
      </w:r>
      <w:r>
        <w:rPr>
          <w:rFonts w:ascii="微软雅黑" w:hAnsi="微软雅黑" w:eastAsia="微软雅黑" w:cs="Times New Roman"/>
          <w:b/>
          <w:color w:val="auto"/>
          <w:sz w:val="28"/>
          <w:szCs w:val="28"/>
        </w:rPr>
        <w:t>）</w:t>
      </w:r>
      <w:r>
        <w:rPr>
          <w:rFonts w:hint="eastAsia" w:ascii="微软雅黑" w:hAnsi="微软雅黑" w:eastAsia="微软雅黑" w:cs="Times New Roman"/>
          <w:b/>
          <w:color w:val="auto"/>
          <w:sz w:val="28"/>
          <w:szCs w:val="28"/>
        </w:rPr>
        <w:t>接受对象</w:t>
      </w:r>
    </w:p>
    <w:p>
      <w:pPr>
        <w:ind w:firstLine="555"/>
        <w:rPr>
          <w:rFonts w:ascii="宋体" w:hAnsi="宋体" w:eastAsia="宋体"/>
          <w:sz w:val="28"/>
          <w:szCs w:val="28"/>
        </w:rPr>
      </w:pPr>
      <w:r>
        <w:rPr>
          <w:rFonts w:hint="eastAsia" w:ascii="宋体" w:hAnsi="宋体" w:eastAsia="宋体"/>
          <w:sz w:val="28"/>
          <w:szCs w:val="28"/>
        </w:rPr>
        <w:t>符合《江苏海事职业技术学院学生学籍管理办法》遴选方案规定的相关学生。</w:t>
      </w:r>
    </w:p>
    <w:p>
      <w:pPr>
        <w:pStyle w:val="2"/>
        <w:ind w:firstLine="549"/>
        <w:rPr>
          <w:rFonts w:ascii="微软雅黑" w:hAnsi="微软雅黑" w:eastAsia="微软雅黑" w:cs="Times New Roman"/>
          <w:b/>
          <w:color w:val="auto"/>
          <w:sz w:val="28"/>
          <w:szCs w:val="28"/>
        </w:rPr>
      </w:pPr>
      <w:r>
        <w:rPr>
          <w:rFonts w:ascii="微软雅黑" w:hAnsi="微软雅黑" w:eastAsia="微软雅黑" w:cs="Times New Roman"/>
          <w:b/>
          <w:color w:val="auto"/>
          <w:sz w:val="28"/>
          <w:szCs w:val="28"/>
        </w:rPr>
        <w:t>（</w:t>
      </w:r>
      <w:r>
        <w:rPr>
          <w:rFonts w:hint="eastAsia" w:ascii="微软雅黑" w:hAnsi="微软雅黑" w:eastAsia="微软雅黑" w:cs="Times New Roman"/>
          <w:b/>
          <w:color w:val="auto"/>
          <w:sz w:val="28"/>
          <w:szCs w:val="28"/>
        </w:rPr>
        <w:t>二</w:t>
      </w:r>
      <w:r>
        <w:rPr>
          <w:rFonts w:ascii="微软雅黑" w:hAnsi="微软雅黑" w:eastAsia="微软雅黑" w:cs="Times New Roman"/>
          <w:b/>
          <w:color w:val="auto"/>
          <w:sz w:val="28"/>
          <w:szCs w:val="28"/>
        </w:rPr>
        <w:t>）</w:t>
      </w:r>
      <w:r>
        <w:rPr>
          <w:rFonts w:hint="eastAsia" w:ascii="微软雅黑" w:hAnsi="微软雅黑" w:eastAsia="微软雅黑" w:cs="Times New Roman"/>
          <w:b/>
          <w:color w:val="auto"/>
          <w:sz w:val="28"/>
          <w:szCs w:val="28"/>
        </w:rPr>
        <w:t>遴选方案</w:t>
      </w:r>
    </w:p>
    <w:p>
      <w:pPr>
        <w:ind w:firstLine="555"/>
        <w:rPr>
          <w:rFonts w:hint="eastAsia" w:ascii="宋体" w:hAnsi="宋体" w:eastAsia="宋体"/>
          <w:sz w:val="28"/>
          <w:szCs w:val="28"/>
          <w:lang w:val="en-US" w:eastAsia="zh-CN"/>
        </w:rPr>
      </w:pPr>
      <w:r>
        <w:rPr>
          <w:rFonts w:hint="eastAsia" w:ascii="宋体" w:hAnsi="宋体" w:eastAsia="宋体"/>
          <w:sz w:val="28"/>
          <w:szCs w:val="28"/>
          <w:lang w:val="en-US" w:eastAsia="zh-CN"/>
        </w:rPr>
        <w:t>1．当申请学生数低于可接受转专业计划数时，免试录取。</w:t>
      </w:r>
    </w:p>
    <w:p>
      <w:pPr>
        <w:ind w:firstLine="555"/>
        <w:rPr>
          <w:rFonts w:hint="eastAsia" w:ascii="宋体" w:hAnsi="宋体" w:eastAsia="宋体"/>
          <w:sz w:val="28"/>
          <w:szCs w:val="28"/>
          <w:lang w:val="en-US" w:eastAsia="zh-CN"/>
        </w:rPr>
      </w:pPr>
      <w:r>
        <w:rPr>
          <w:rFonts w:hint="eastAsia" w:ascii="宋体" w:hAnsi="宋体" w:eastAsia="宋体"/>
          <w:sz w:val="28"/>
          <w:szCs w:val="28"/>
          <w:lang w:val="en-US" w:eastAsia="zh-CN"/>
        </w:rPr>
        <w:t>2．当申请学生数大于可</w:t>
      </w:r>
      <w:bookmarkStart w:id="25" w:name="_GoBack"/>
      <w:bookmarkEnd w:id="25"/>
      <w:r>
        <w:rPr>
          <w:rFonts w:hint="eastAsia" w:ascii="宋体" w:hAnsi="宋体" w:eastAsia="宋体"/>
          <w:sz w:val="28"/>
          <w:szCs w:val="28"/>
          <w:lang w:val="en-US" w:eastAsia="zh-CN"/>
        </w:rPr>
        <w:t>接受转专业计划数时，组织面试，面试具体程序和时间由轮机电气与智能工程学院安排，不参加面试的学生视为放弃本次转专业机会。</w:t>
      </w:r>
    </w:p>
    <w:p>
      <w:pPr>
        <w:ind w:firstLine="555"/>
        <w:rPr>
          <w:rFonts w:hint="eastAsia" w:ascii="宋体" w:hAnsi="宋体" w:eastAsia="宋体"/>
          <w:sz w:val="28"/>
          <w:szCs w:val="28"/>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3ZTA0OTM0OWU0NjU1M2ZkNmUzNjA2OWU1ZTEyZmUifQ=="/>
  </w:docVars>
  <w:rsids>
    <w:rsidRoot w:val="00816F75"/>
    <w:rsid w:val="00101D56"/>
    <w:rsid w:val="001050CA"/>
    <w:rsid w:val="00113868"/>
    <w:rsid w:val="00172406"/>
    <w:rsid w:val="001E19FD"/>
    <w:rsid w:val="001F0F0E"/>
    <w:rsid w:val="001F23B9"/>
    <w:rsid w:val="0028070B"/>
    <w:rsid w:val="003055C1"/>
    <w:rsid w:val="00326C11"/>
    <w:rsid w:val="00335D33"/>
    <w:rsid w:val="00364A07"/>
    <w:rsid w:val="003A6DB4"/>
    <w:rsid w:val="003B2ACD"/>
    <w:rsid w:val="003F1B8F"/>
    <w:rsid w:val="00426CCA"/>
    <w:rsid w:val="0047013C"/>
    <w:rsid w:val="004A6F37"/>
    <w:rsid w:val="004D0A00"/>
    <w:rsid w:val="004E26BB"/>
    <w:rsid w:val="005460D2"/>
    <w:rsid w:val="005540F2"/>
    <w:rsid w:val="00560DFE"/>
    <w:rsid w:val="00564AFE"/>
    <w:rsid w:val="00576C24"/>
    <w:rsid w:val="005C280D"/>
    <w:rsid w:val="00605A39"/>
    <w:rsid w:val="00611EF5"/>
    <w:rsid w:val="0064002E"/>
    <w:rsid w:val="006764E6"/>
    <w:rsid w:val="007407C0"/>
    <w:rsid w:val="00740F4E"/>
    <w:rsid w:val="0077075A"/>
    <w:rsid w:val="00795095"/>
    <w:rsid w:val="00814B28"/>
    <w:rsid w:val="00816F75"/>
    <w:rsid w:val="00821226"/>
    <w:rsid w:val="00830288"/>
    <w:rsid w:val="00844269"/>
    <w:rsid w:val="008C7E7E"/>
    <w:rsid w:val="008F2E84"/>
    <w:rsid w:val="0093484B"/>
    <w:rsid w:val="00977ED2"/>
    <w:rsid w:val="009821D3"/>
    <w:rsid w:val="009914C9"/>
    <w:rsid w:val="00A0768D"/>
    <w:rsid w:val="00A71FD1"/>
    <w:rsid w:val="00AA14CE"/>
    <w:rsid w:val="00B60E70"/>
    <w:rsid w:val="00B904D9"/>
    <w:rsid w:val="00B94D2C"/>
    <w:rsid w:val="00BA5AD6"/>
    <w:rsid w:val="00C375E1"/>
    <w:rsid w:val="00C422FE"/>
    <w:rsid w:val="00C933C5"/>
    <w:rsid w:val="00CE59FB"/>
    <w:rsid w:val="00CF5500"/>
    <w:rsid w:val="00D16F6B"/>
    <w:rsid w:val="00D40834"/>
    <w:rsid w:val="00D932F6"/>
    <w:rsid w:val="00DA2FBE"/>
    <w:rsid w:val="00EB17B1"/>
    <w:rsid w:val="00F3689C"/>
    <w:rsid w:val="00F55032"/>
    <w:rsid w:val="00F90F8F"/>
    <w:rsid w:val="00F97CAE"/>
    <w:rsid w:val="00FB4213"/>
    <w:rsid w:val="00FE3F1A"/>
    <w:rsid w:val="01BE5322"/>
    <w:rsid w:val="01CE347E"/>
    <w:rsid w:val="08273D57"/>
    <w:rsid w:val="0E745874"/>
    <w:rsid w:val="10983072"/>
    <w:rsid w:val="11D84F83"/>
    <w:rsid w:val="125B6977"/>
    <w:rsid w:val="1FFC75A2"/>
    <w:rsid w:val="236D6546"/>
    <w:rsid w:val="274F4643"/>
    <w:rsid w:val="28485A68"/>
    <w:rsid w:val="2B06156E"/>
    <w:rsid w:val="32DF505E"/>
    <w:rsid w:val="36FB7844"/>
    <w:rsid w:val="37C466EB"/>
    <w:rsid w:val="383A69FC"/>
    <w:rsid w:val="3C6A680D"/>
    <w:rsid w:val="3FE17922"/>
    <w:rsid w:val="402B7525"/>
    <w:rsid w:val="4032095F"/>
    <w:rsid w:val="49F71228"/>
    <w:rsid w:val="4E501A51"/>
    <w:rsid w:val="4F9B7383"/>
    <w:rsid w:val="4FA11593"/>
    <w:rsid w:val="4FFA78B0"/>
    <w:rsid w:val="53A07069"/>
    <w:rsid w:val="5B4B7CD3"/>
    <w:rsid w:val="5B8303A9"/>
    <w:rsid w:val="603C006D"/>
    <w:rsid w:val="605B34CB"/>
    <w:rsid w:val="66303069"/>
    <w:rsid w:val="736D1D9B"/>
    <w:rsid w:val="74A924C1"/>
    <w:rsid w:val="78134EF5"/>
    <w:rsid w:val="795921BF"/>
    <w:rsid w:val="79C06B28"/>
    <w:rsid w:val="79CB6BFD"/>
    <w:rsid w:val="7C7D3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9"/>
    <w:pPr>
      <w:tabs>
        <w:tab w:val="left" w:pos="720"/>
      </w:tabs>
      <w:adjustRightInd w:val="0"/>
      <w:snapToGrid w:val="0"/>
      <w:spacing w:before="312" w:beforeLines="100" w:after="312" w:afterLines="100"/>
      <w:ind w:firstLine="627" w:firstLineChars="196"/>
      <w:outlineLvl w:val="0"/>
    </w:pPr>
    <w:rPr>
      <w:rFonts w:ascii="黑体" w:hAnsi="黑体" w:eastAsia="黑体"/>
      <w:color w:val="000000"/>
      <w:sz w:val="32"/>
      <w:szCs w:val="32"/>
    </w:rPr>
  </w:style>
  <w:style w:type="paragraph" w:styleId="3">
    <w:name w:val="heading 2"/>
    <w:basedOn w:val="1"/>
    <w:next w:val="1"/>
    <w:link w:val="20"/>
    <w:unhideWhenUsed/>
    <w:qFormat/>
    <w:uiPriority w:val="99"/>
    <w:pPr>
      <w:adjustRightInd w:val="0"/>
      <w:snapToGrid w:val="0"/>
      <w:spacing w:before="156" w:beforeLines="50" w:after="156" w:afterLines="50"/>
      <w:ind w:firstLine="560" w:firstLineChars="200"/>
      <w:outlineLvl w:val="1"/>
    </w:pPr>
    <w:rPr>
      <w:rFonts w:ascii="黑体" w:hAnsi="黑体" w:eastAsia="黑体"/>
      <w:color w:val="000000"/>
      <w:sz w:val="28"/>
      <w:szCs w:val="28"/>
    </w:rPr>
  </w:style>
  <w:style w:type="paragraph" w:styleId="4">
    <w:name w:val="heading 3"/>
    <w:basedOn w:val="1"/>
    <w:next w:val="1"/>
    <w:link w:val="21"/>
    <w:unhideWhenUsed/>
    <w:qFormat/>
    <w:uiPriority w:val="9"/>
    <w:pPr>
      <w:autoSpaceDE w:val="0"/>
      <w:autoSpaceDN w:val="0"/>
      <w:adjustRightInd w:val="0"/>
      <w:spacing w:line="360" w:lineRule="auto"/>
      <w:ind w:firstLine="516" w:firstLineChars="214"/>
      <w:outlineLvl w:val="2"/>
    </w:pPr>
    <w:rPr>
      <w:rFonts w:cs="仿宋_GB2312" w:asciiTheme="minorEastAsia" w:hAnsiTheme="minorEastAsia"/>
      <w:b/>
      <w:bCs/>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5"/>
    <w:qFormat/>
    <w:uiPriority w:val="0"/>
    <w:pPr>
      <w:jc w:val="left"/>
    </w:pPr>
    <w:rPr>
      <w:rFonts w:eastAsia="宋体"/>
      <w:szCs w:val="24"/>
    </w:rPr>
  </w:style>
  <w:style w:type="paragraph" w:styleId="6">
    <w:name w:val="Plain Text"/>
    <w:basedOn w:val="1"/>
    <w:qFormat/>
    <w:uiPriority w:val="0"/>
    <w:rPr>
      <w:rFonts w:ascii="宋体" w:hAnsi="Courier New" w:cs="Courier New"/>
      <w:iCs/>
      <w:color w:val="000000"/>
      <w:szCs w:val="21"/>
    </w:rPr>
  </w:style>
  <w:style w:type="paragraph" w:styleId="7">
    <w:name w:val="Balloon Text"/>
    <w:basedOn w:val="1"/>
    <w:link w:val="18"/>
    <w:semiHidden/>
    <w:unhideWhenUsed/>
    <w:qFormat/>
    <w:uiPriority w:val="99"/>
    <w:rPr>
      <w:sz w:val="18"/>
      <w:szCs w:val="18"/>
    </w:rPr>
  </w:style>
  <w:style w:type="paragraph" w:styleId="8">
    <w:name w:val="footer"/>
    <w:basedOn w:val="1"/>
    <w:link w:val="23"/>
    <w:unhideWhenUsed/>
    <w:qFormat/>
    <w:uiPriority w:val="0"/>
    <w:pPr>
      <w:tabs>
        <w:tab w:val="center" w:pos="4153"/>
        <w:tab w:val="right" w:pos="8306"/>
      </w:tabs>
      <w:snapToGrid w:val="0"/>
      <w:jc w:val="left"/>
    </w:pPr>
    <w:rPr>
      <w:sz w:val="18"/>
      <w:szCs w:val="18"/>
    </w:rPr>
  </w:style>
  <w:style w:type="paragraph" w:styleId="9">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22"/>
    <w:semiHidden/>
    <w:unhideWhenUsed/>
    <w:qFormat/>
    <w:uiPriority w:val="99"/>
    <w:rPr>
      <w:rFonts w:eastAsiaTheme="minorEastAsia"/>
      <w:b/>
      <w:bCs/>
      <w:szCs w:val="22"/>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annotation reference"/>
    <w:qFormat/>
    <w:uiPriority w:val="0"/>
    <w:rPr>
      <w:sz w:val="21"/>
      <w:szCs w:val="21"/>
    </w:rPr>
  </w:style>
  <w:style w:type="character" w:customStyle="1" w:styleId="15">
    <w:name w:val="批注文字 Char"/>
    <w:link w:val="5"/>
    <w:qFormat/>
    <w:uiPriority w:val="0"/>
    <w:rPr>
      <w:rFonts w:eastAsia="宋体"/>
      <w:szCs w:val="24"/>
    </w:rPr>
  </w:style>
  <w:style w:type="character" w:customStyle="1" w:styleId="16">
    <w:name w:val="批注文字 Char1"/>
    <w:basedOn w:val="13"/>
    <w:semiHidden/>
    <w:qFormat/>
    <w:uiPriority w:val="99"/>
  </w:style>
  <w:style w:type="paragraph" w:customStyle="1" w:styleId="17">
    <w:name w:val="Char Char Char Char"/>
    <w:basedOn w:val="1"/>
    <w:qFormat/>
    <w:uiPriority w:val="0"/>
    <w:pPr>
      <w:widowControl/>
      <w:spacing w:after="160" w:line="240" w:lineRule="exact"/>
      <w:jc w:val="left"/>
    </w:pPr>
    <w:rPr>
      <w:rFonts w:ascii="Times New Roman" w:hAnsi="Times New Roman" w:eastAsia="宋体" w:cs="Times New Roman"/>
      <w:szCs w:val="24"/>
    </w:rPr>
  </w:style>
  <w:style w:type="character" w:customStyle="1" w:styleId="18">
    <w:name w:val="批注框文本 Char"/>
    <w:basedOn w:val="13"/>
    <w:link w:val="7"/>
    <w:semiHidden/>
    <w:qFormat/>
    <w:uiPriority w:val="99"/>
    <w:rPr>
      <w:sz w:val="18"/>
      <w:szCs w:val="18"/>
    </w:rPr>
  </w:style>
  <w:style w:type="character" w:customStyle="1" w:styleId="19">
    <w:name w:val="标题 1 Char"/>
    <w:basedOn w:val="13"/>
    <w:link w:val="2"/>
    <w:qFormat/>
    <w:uiPriority w:val="99"/>
    <w:rPr>
      <w:rFonts w:ascii="黑体" w:hAnsi="黑体" w:eastAsia="黑体"/>
      <w:color w:val="000000"/>
      <w:sz w:val="32"/>
      <w:szCs w:val="32"/>
    </w:rPr>
  </w:style>
  <w:style w:type="character" w:customStyle="1" w:styleId="20">
    <w:name w:val="标题 2 Char"/>
    <w:basedOn w:val="13"/>
    <w:link w:val="3"/>
    <w:qFormat/>
    <w:uiPriority w:val="99"/>
    <w:rPr>
      <w:rFonts w:ascii="黑体" w:hAnsi="黑体" w:eastAsia="黑体"/>
      <w:color w:val="000000"/>
      <w:sz w:val="28"/>
      <w:szCs w:val="28"/>
    </w:rPr>
  </w:style>
  <w:style w:type="character" w:customStyle="1" w:styleId="21">
    <w:name w:val="标题 3 Char"/>
    <w:basedOn w:val="13"/>
    <w:link w:val="4"/>
    <w:qFormat/>
    <w:uiPriority w:val="9"/>
    <w:rPr>
      <w:rFonts w:cs="仿宋_GB2312" w:asciiTheme="minorEastAsia" w:hAnsiTheme="minorEastAsia"/>
      <w:b/>
      <w:bCs/>
      <w:sz w:val="24"/>
      <w:szCs w:val="24"/>
    </w:rPr>
  </w:style>
  <w:style w:type="character" w:customStyle="1" w:styleId="22">
    <w:name w:val="批注主题 Char"/>
    <w:basedOn w:val="15"/>
    <w:link w:val="10"/>
    <w:semiHidden/>
    <w:qFormat/>
    <w:uiPriority w:val="99"/>
    <w:rPr>
      <w:rFonts w:eastAsia="宋体"/>
      <w:b/>
      <w:bCs/>
      <w:szCs w:val="24"/>
    </w:rPr>
  </w:style>
  <w:style w:type="character" w:customStyle="1" w:styleId="23">
    <w:name w:val="页脚 Char"/>
    <w:basedOn w:val="13"/>
    <w:link w:val="8"/>
    <w:qFormat/>
    <w:uiPriority w:val="0"/>
    <w:rPr>
      <w:sz w:val="18"/>
      <w:szCs w:val="18"/>
    </w:rPr>
  </w:style>
  <w:style w:type="paragraph" w:customStyle="1" w:styleId="24">
    <w:name w:val="样式1"/>
    <w:basedOn w:val="1"/>
    <w:qFormat/>
    <w:uiPriority w:val="0"/>
    <w:pPr>
      <w:widowControl/>
      <w:jc w:val="left"/>
    </w:pPr>
    <w:rPr>
      <w:rFonts w:ascii="Times New Roman" w:hAnsi="Times New Roman" w:eastAsia="宋体" w:cs="Times New Roman"/>
      <w:kern w:val="0"/>
      <w:sz w:val="24"/>
      <w:szCs w:val="24"/>
      <w:lang w:eastAsia="en-US" w:bidi="en-US"/>
    </w:rPr>
  </w:style>
  <w:style w:type="character" w:customStyle="1" w:styleId="25">
    <w:name w:val="页眉 Char"/>
    <w:basedOn w:val="13"/>
    <w:link w:val="9"/>
    <w:qFormat/>
    <w:uiPriority w:val="99"/>
    <w:rPr>
      <w:sz w:val="18"/>
      <w:szCs w:val="18"/>
    </w:rPr>
  </w:style>
  <w:style w:type="paragraph" w:customStyle="1" w:styleId="26">
    <w:name w:val="样式6"/>
    <w:basedOn w:val="27"/>
    <w:qFormat/>
    <w:uiPriority w:val="0"/>
    <w:pPr>
      <w:ind w:left="380"/>
      <w:jc w:val="both"/>
    </w:pPr>
  </w:style>
  <w:style w:type="paragraph" w:customStyle="1" w:styleId="27">
    <w:name w:val="样式5"/>
    <w:basedOn w:val="1"/>
    <w:qFormat/>
    <w:uiPriority w:val="0"/>
    <w:pPr>
      <w:widowControl/>
      <w:spacing w:line="300" w:lineRule="auto"/>
      <w:jc w:val="left"/>
    </w:pPr>
    <w:rPr>
      <w:rFonts w:ascii="宋体" w:hAnsi="宋体"/>
      <w:color w:val="000000"/>
      <w:kern w:val="0"/>
      <w:sz w:val="24"/>
    </w:rPr>
  </w:style>
  <w:style w:type="paragraph" w:customStyle="1" w:styleId="28">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table" w:customStyle="1" w:styleId="29">
    <w:name w:val="网格型1"/>
    <w:basedOn w:val="11"/>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1424</Words>
  <Characters>1458</Characters>
  <Lines>10</Lines>
  <Paragraphs>3</Paragraphs>
  <TotalTime>0</TotalTime>
  <ScaleCrop>false</ScaleCrop>
  <LinksUpToDate>false</LinksUpToDate>
  <CharactersWithSpaces>1464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2019-12-23T06:01:00Z</dcterms:created>
  <dc:creator>王涛</dc:creator>
  <cp:lastModifiedBy>张英华</cp:lastModifiedBy>
  <cp:lastPrinted>2022-12-04T12:59:00Z</cp:lastPrinted>
  <dcterms:modified xsi:type="dcterms:W3CDTF">2023-06-09T02:54:01Z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C69C697B425A44DBB387F13C2C4EEA14</vt:lpwstr>
  </property>
</Properties>
</file>