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微软雅黑" w:hAnsi="微软雅黑" w:eastAsia="微软雅黑"/>
          <w:b/>
          <w:sz w:val="36"/>
          <w:szCs w:val="36"/>
        </w:rPr>
      </w:pPr>
      <w:r>
        <w:rPr>
          <w:rFonts w:hint="eastAsia" w:ascii="微软雅黑" w:hAnsi="微软雅黑" w:eastAsia="微软雅黑"/>
          <w:b/>
          <w:sz w:val="36"/>
          <w:szCs w:val="36"/>
        </w:rPr>
        <w:t>建筑智能化工程</w:t>
      </w:r>
      <w:r>
        <w:rPr>
          <w:rFonts w:ascii="微软雅黑" w:hAnsi="微软雅黑" w:eastAsia="微软雅黑"/>
          <w:b/>
          <w:sz w:val="36"/>
          <w:szCs w:val="36"/>
        </w:rPr>
        <w:t>技术专业</w:t>
      </w:r>
      <w:r>
        <w:rPr>
          <w:rFonts w:hint="eastAsia" w:ascii="微软雅黑" w:hAnsi="微软雅黑" w:eastAsia="微软雅黑"/>
          <w:b/>
          <w:sz w:val="36"/>
          <w:szCs w:val="36"/>
        </w:rPr>
        <w:t>（对口）转专业录取办法</w:t>
      </w:r>
    </w:p>
    <w:p>
      <w:pPr>
        <w:pStyle w:val="2"/>
        <w:spacing w:before="312" w:after="312" w:line="360" w:lineRule="auto"/>
        <w:ind w:firstLine="560" w:firstLineChars="200"/>
        <w:rPr>
          <w:rFonts w:asciiTheme="minorEastAsia" w:hAnsiTheme="minorEastAsia" w:eastAsiaTheme="minorEastAsia"/>
          <w:color w:val="auto"/>
          <w:sz w:val="28"/>
          <w:szCs w:val="28"/>
        </w:rPr>
      </w:pPr>
      <w:bookmarkStart w:id="0" w:name="_Toc396497634"/>
      <w:bookmarkStart w:id="1" w:name="_Toc396501700"/>
      <w:bookmarkStart w:id="2" w:name="_Toc396497526"/>
      <w:bookmarkStart w:id="3" w:name="_Toc396497324"/>
      <w:bookmarkStart w:id="4" w:name="_Toc393236437"/>
      <w:r>
        <w:rPr>
          <w:rFonts w:hint="eastAsia" w:asciiTheme="minorEastAsia" w:hAnsiTheme="minorEastAsia" w:eastAsiaTheme="minorEastAsia"/>
          <w:color w:val="auto"/>
          <w:sz w:val="28"/>
          <w:szCs w:val="28"/>
        </w:rPr>
        <w:t>为适应高等职业教育改革与发展，充分体现“以生为本”的教育理念，尊重学生个人志向，发挥学生专长，激发学生学习积极性、主动性，进一步完善个性化人才培养模式，进一步规范学校学生转专业行为，科学稳妥地组织转专业相关工作，依据《江苏海事职业技术学院学生学籍管理办法》制定本办法。</w:t>
      </w:r>
    </w:p>
    <w:p>
      <w:pPr>
        <w:pStyle w:val="2"/>
        <w:spacing w:before="312" w:after="312"/>
        <w:ind w:firstLine="0" w:firstLineChars="0"/>
        <w:rPr>
          <w:rFonts w:ascii="微软雅黑" w:hAnsi="微软雅黑" w:eastAsia="微软雅黑"/>
          <w:b/>
          <w:color w:val="auto"/>
          <w:sz w:val="28"/>
          <w:szCs w:val="28"/>
        </w:rPr>
      </w:pPr>
      <w:r>
        <w:rPr>
          <w:rFonts w:ascii="微软雅黑" w:hAnsi="微软雅黑" w:eastAsia="微软雅黑"/>
          <w:b/>
          <w:color w:val="auto"/>
          <w:sz w:val="28"/>
          <w:szCs w:val="28"/>
        </w:rPr>
        <w:t>一、专业基本信息</w:t>
      </w:r>
      <w:bookmarkEnd w:id="0"/>
      <w:bookmarkEnd w:id="1"/>
      <w:bookmarkEnd w:id="2"/>
      <w:bookmarkEnd w:id="3"/>
      <w:bookmarkEnd w:id="4"/>
    </w:p>
    <w:p>
      <w:pPr>
        <w:pStyle w:val="3"/>
        <w:spacing w:before="156" w:after="156"/>
        <w:ind w:firstLine="0" w:firstLineChars="0"/>
        <w:rPr>
          <w:rFonts w:ascii="微软雅黑" w:hAnsi="微软雅黑" w:eastAsia="微软雅黑"/>
          <w:b/>
          <w:color w:val="auto"/>
        </w:rPr>
      </w:pPr>
      <w:bookmarkStart w:id="5" w:name="_Toc396501701"/>
      <w:bookmarkStart w:id="6" w:name="_Toc393236438"/>
      <w:bookmarkStart w:id="7" w:name="_Toc396497527"/>
      <w:bookmarkStart w:id="8" w:name="_Toc396497325"/>
      <w:bookmarkStart w:id="9" w:name="_Toc396497635"/>
      <w:r>
        <w:rPr>
          <w:rFonts w:ascii="微软雅黑" w:hAnsi="微软雅黑" w:eastAsia="微软雅黑"/>
          <w:b/>
          <w:color w:val="auto"/>
        </w:rPr>
        <w:t>（一）专业名称</w:t>
      </w:r>
      <w:bookmarkEnd w:id="5"/>
      <w:bookmarkEnd w:id="6"/>
      <w:bookmarkEnd w:id="7"/>
      <w:bookmarkEnd w:id="8"/>
      <w:bookmarkEnd w:id="9"/>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建筑智能化工程技术    </w:t>
      </w:r>
      <w:r>
        <w:rPr>
          <w:rFonts w:asciiTheme="minorEastAsia" w:hAnsiTheme="minorEastAsia" w:eastAsiaTheme="minorEastAsia"/>
          <w:sz w:val="28"/>
          <w:szCs w:val="28"/>
        </w:rPr>
        <w:t>专业代码4</w:t>
      </w:r>
      <w:r>
        <w:rPr>
          <w:rFonts w:hint="eastAsia" w:asciiTheme="minorEastAsia" w:hAnsiTheme="minorEastAsia" w:eastAsiaTheme="minorEastAsia"/>
          <w:sz w:val="28"/>
          <w:szCs w:val="28"/>
        </w:rPr>
        <w:t>4</w:t>
      </w:r>
      <w:r>
        <w:rPr>
          <w:rFonts w:asciiTheme="minorEastAsia" w:hAnsiTheme="minorEastAsia" w:eastAsiaTheme="minorEastAsia"/>
          <w:sz w:val="28"/>
          <w:szCs w:val="28"/>
        </w:rPr>
        <w:t>040</w:t>
      </w:r>
      <w:r>
        <w:rPr>
          <w:rFonts w:hint="eastAsia" w:asciiTheme="minorEastAsia" w:hAnsiTheme="minorEastAsia" w:eastAsiaTheme="minorEastAsia"/>
          <w:sz w:val="28"/>
          <w:szCs w:val="28"/>
        </w:rPr>
        <w:t>4</w:t>
      </w:r>
    </w:p>
    <w:p>
      <w:pPr>
        <w:adjustRightInd w:val="0"/>
        <w:snapToGrid w:val="0"/>
        <w:spacing w:line="360" w:lineRule="auto"/>
        <w:rPr>
          <w:rFonts w:ascii="微软雅黑" w:hAnsi="微软雅黑" w:eastAsia="微软雅黑"/>
          <w:b/>
          <w:sz w:val="28"/>
          <w:szCs w:val="28"/>
        </w:rPr>
      </w:pPr>
      <w:r>
        <w:rPr>
          <w:rFonts w:ascii="微软雅黑" w:hAnsi="微软雅黑" w:eastAsia="微软雅黑"/>
          <w:b/>
          <w:sz w:val="28"/>
          <w:szCs w:val="28"/>
        </w:rPr>
        <w:t>（</w:t>
      </w:r>
      <w:r>
        <w:rPr>
          <w:rFonts w:hint="eastAsia" w:ascii="微软雅黑" w:hAnsi="微软雅黑" w:eastAsia="微软雅黑"/>
          <w:b/>
          <w:sz w:val="28"/>
          <w:szCs w:val="28"/>
        </w:rPr>
        <w:t>二</w:t>
      </w:r>
      <w:r>
        <w:rPr>
          <w:rFonts w:ascii="微软雅黑" w:hAnsi="微软雅黑" w:eastAsia="微软雅黑"/>
          <w:b/>
          <w:sz w:val="28"/>
          <w:szCs w:val="28"/>
        </w:rPr>
        <w:t>）人才培养目标</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建筑智能化工程技术专业面向建筑智能化设备生产、销售以及智能化系统设计、施工、维护、系统集成等企业，培养具备建筑智能化相关产品生产、销售及系统设计、实施等能力，具有良好的职业道德、工匠精神和创新精神及理想信念坚定、德技并修、全面发展的素养，具备在生产、服务一线从事智能化系统设计、施工、调试及维护管理等领域专业服务能力的应用型（复合型）技术技能人才。</w:t>
      </w:r>
    </w:p>
    <w:p>
      <w:pPr>
        <w:pStyle w:val="2"/>
        <w:spacing w:before="312" w:after="312"/>
        <w:ind w:firstLine="0" w:firstLineChars="0"/>
        <w:rPr>
          <w:rFonts w:ascii="微软雅黑" w:hAnsi="微软雅黑" w:eastAsia="微软雅黑"/>
          <w:b/>
          <w:color w:val="auto"/>
          <w:sz w:val="28"/>
          <w:szCs w:val="28"/>
        </w:rPr>
      </w:pPr>
      <w:r>
        <w:rPr>
          <w:rFonts w:hint="eastAsia" w:ascii="微软雅黑" w:hAnsi="微软雅黑" w:eastAsia="微软雅黑"/>
          <w:b/>
          <w:color w:val="auto"/>
          <w:sz w:val="28"/>
          <w:szCs w:val="28"/>
        </w:rPr>
        <w:t>（三）职业面向</w:t>
      </w:r>
    </w:p>
    <w:tbl>
      <w:tblPr>
        <w:tblStyle w:val="12"/>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45"/>
        <w:gridCol w:w="2016"/>
        <w:gridCol w:w="2124"/>
        <w:gridCol w:w="681"/>
        <w:gridCol w:w="1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846" w:type="dxa"/>
            <w:vMerge w:val="restart"/>
            <w:vAlign w:val="center"/>
          </w:tcPr>
          <w:p>
            <w:pPr>
              <w:adjustRightInd w:val="0"/>
              <w:snapToGrid w:val="0"/>
              <w:jc w:val="center"/>
              <w:rPr>
                <w:rFonts w:ascii="黑体" w:hAnsi="黑体" w:eastAsia="黑体" w:cs="宋体"/>
                <w:b/>
              </w:rPr>
            </w:pPr>
            <w:r>
              <w:rPr>
                <w:rFonts w:hint="eastAsia" w:ascii="黑体" w:hAnsi="黑体" w:eastAsia="黑体" w:cs="宋体"/>
                <w:b/>
              </w:rPr>
              <w:t>序号</w:t>
            </w:r>
          </w:p>
        </w:tc>
        <w:tc>
          <w:tcPr>
            <w:tcW w:w="1245" w:type="dxa"/>
            <w:vMerge w:val="restart"/>
            <w:vAlign w:val="center"/>
          </w:tcPr>
          <w:p>
            <w:pPr>
              <w:adjustRightInd w:val="0"/>
              <w:snapToGrid w:val="0"/>
              <w:jc w:val="center"/>
              <w:rPr>
                <w:rFonts w:ascii="黑体" w:hAnsi="黑体" w:eastAsia="黑体" w:cs="宋体"/>
                <w:b/>
              </w:rPr>
            </w:pPr>
            <w:r>
              <w:rPr>
                <w:rFonts w:hint="eastAsia" w:ascii="黑体" w:hAnsi="黑体" w:eastAsia="黑体" w:cs="宋体"/>
                <w:b/>
              </w:rPr>
              <w:t>专业方向</w:t>
            </w:r>
          </w:p>
        </w:tc>
        <w:tc>
          <w:tcPr>
            <w:tcW w:w="2016" w:type="dxa"/>
            <w:vMerge w:val="restart"/>
            <w:vAlign w:val="center"/>
          </w:tcPr>
          <w:p>
            <w:pPr>
              <w:adjustRightInd w:val="0"/>
              <w:snapToGrid w:val="0"/>
              <w:jc w:val="center"/>
              <w:rPr>
                <w:rFonts w:ascii="黑体" w:hAnsi="黑体" w:eastAsia="黑体" w:cs="宋体"/>
                <w:b/>
              </w:rPr>
            </w:pPr>
            <w:r>
              <w:rPr>
                <w:rFonts w:hint="eastAsia" w:ascii="黑体" w:hAnsi="黑体" w:eastAsia="黑体" w:cs="宋体"/>
                <w:b/>
              </w:rPr>
              <w:t>职业岗位</w:t>
            </w:r>
          </w:p>
        </w:tc>
        <w:tc>
          <w:tcPr>
            <w:tcW w:w="4421" w:type="dxa"/>
            <w:gridSpan w:val="3"/>
            <w:vAlign w:val="center"/>
          </w:tcPr>
          <w:p>
            <w:pPr>
              <w:adjustRightInd w:val="0"/>
              <w:snapToGrid w:val="0"/>
              <w:jc w:val="center"/>
              <w:rPr>
                <w:rFonts w:ascii="黑体" w:hAnsi="黑体" w:eastAsia="黑体" w:cs="宋体"/>
                <w:b/>
              </w:rPr>
            </w:pPr>
            <w:r>
              <w:rPr>
                <w:rFonts w:hint="eastAsia" w:ascii="黑体" w:hAnsi="黑体" w:eastAsia="黑体" w:cs="宋体"/>
                <w:b/>
              </w:rPr>
              <w:t>职业资格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846" w:type="dxa"/>
            <w:vMerge w:val="continue"/>
            <w:vAlign w:val="center"/>
          </w:tcPr>
          <w:p>
            <w:pPr>
              <w:adjustRightInd w:val="0"/>
              <w:snapToGrid w:val="0"/>
              <w:jc w:val="center"/>
              <w:rPr>
                <w:rFonts w:ascii="黑体" w:hAnsi="黑体" w:eastAsia="黑体"/>
                <w:b/>
              </w:rPr>
            </w:pPr>
          </w:p>
        </w:tc>
        <w:tc>
          <w:tcPr>
            <w:tcW w:w="1245" w:type="dxa"/>
            <w:vMerge w:val="continue"/>
            <w:vAlign w:val="center"/>
          </w:tcPr>
          <w:p>
            <w:pPr>
              <w:adjustRightInd w:val="0"/>
              <w:snapToGrid w:val="0"/>
              <w:jc w:val="center"/>
              <w:rPr>
                <w:rFonts w:ascii="黑体" w:hAnsi="黑体" w:eastAsia="黑体"/>
                <w:b/>
              </w:rPr>
            </w:pPr>
          </w:p>
        </w:tc>
        <w:tc>
          <w:tcPr>
            <w:tcW w:w="2016" w:type="dxa"/>
            <w:vMerge w:val="continue"/>
            <w:vAlign w:val="center"/>
          </w:tcPr>
          <w:p>
            <w:pPr>
              <w:adjustRightInd w:val="0"/>
              <w:snapToGrid w:val="0"/>
              <w:jc w:val="center"/>
              <w:rPr>
                <w:rFonts w:ascii="黑体" w:hAnsi="黑体" w:eastAsia="黑体"/>
                <w:b/>
              </w:rPr>
            </w:pPr>
          </w:p>
        </w:tc>
        <w:tc>
          <w:tcPr>
            <w:tcW w:w="2124" w:type="dxa"/>
            <w:vAlign w:val="center"/>
          </w:tcPr>
          <w:p>
            <w:pPr>
              <w:adjustRightInd w:val="0"/>
              <w:snapToGrid w:val="0"/>
              <w:jc w:val="center"/>
              <w:rPr>
                <w:rFonts w:ascii="黑体" w:hAnsi="黑体" w:eastAsia="黑体"/>
                <w:b/>
              </w:rPr>
            </w:pPr>
            <w:r>
              <w:rPr>
                <w:rFonts w:hint="eastAsia" w:ascii="黑体" w:hAnsi="黑体" w:eastAsia="黑体" w:cs="宋体"/>
                <w:b/>
              </w:rPr>
              <w:t>证书名称</w:t>
            </w:r>
          </w:p>
        </w:tc>
        <w:tc>
          <w:tcPr>
            <w:tcW w:w="681" w:type="dxa"/>
            <w:vAlign w:val="center"/>
          </w:tcPr>
          <w:p>
            <w:pPr>
              <w:adjustRightInd w:val="0"/>
              <w:snapToGrid w:val="0"/>
              <w:jc w:val="center"/>
              <w:rPr>
                <w:rFonts w:ascii="黑体" w:hAnsi="黑体" w:eastAsia="黑体"/>
                <w:b/>
              </w:rPr>
            </w:pPr>
            <w:r>
              <w:rPr>
                <w:rFonts w:hint="eastAsia" w:ascii="黑体" w:hAnsi="黑体" w:eastAsia="黑体" w:cs="宋体"/>
                <w:b/>
              </w:rPr>
              <w:t>等级</w:t>
            </w:r>
          </w:p>
        </w:tc>
        <w:tc>
          <w:tcPr>
            <w:tcW w:w="1616" w:type="dxa"/>
            <w:vAlign w:val="center"/>
          </w:tcPr>
          <w:p>
            <w:pPr>
              <w:adjustRightInd w:val="0"/>
              <w:snapToGrid w:val="0"/>
              <w:jc w:val="center"/>
              <w:rPr>
                <w:rFonts w:ascii="黑体" w:hAnsi="黑体" w:eastAsia="黑体"/>
                <w:b/>
              </w:rPr>
            </w:pPr>
            <w:r>
              <w:rPr>
                <w:rFonts w:hint="eastAsia" w:ascii="黑体" w:hAnsi="黑体" w:eastAsia="黑体" w:cs="宋体"/>
                <w:b/>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846" w:type="dxa"/>
            <w:vAlign w:val="center"/>
          </w:tcPr>
          <w:p>
            <w:pPr>
              <w:adjustRightInd w:val="0"/>
              <w:snapToGrid w:val="0"/>
              <w:jc w:val="center"/>
            </w:pPr>
            <w:r>
              <w:rPr>
                <w:rFonts w:hint="eastAsia"/>
              </w:rPr>
              <w:t>1</w:t>
            </w:r>
          </w:p>
        </w:tc>
        <w:tc>
          <w:tcPr>
            <w:tcW w:w="1245" w:type="dxa"/>
            <w:vAlign w:val="center"/>
          </w:tcPr>
          <w:p>
            <w:pPr>
              <w:adjustRightInd w:val="0"/>
              <w:snapToGrid w:val="0"/>
            </w:pPr>
            <w:r>
              <w:rPr>
                <w:rFonts w:hint="eastAsia"/>
              </w:rPr>
              <w:t>建筑智能化工程技术</w:t>
            </w:r>
          </w:p>
        </w:tc>
        <w:tc>
          <w:tcPr>
            <w:tcW w:w="2016" w:type="dxa"/>
            <w:vAlign w:val="center"/>
          </w:tcPr>
          <w:p>
            <w:pPr>
              <w:adjustRightInd w:val="0"/>
              <w:snapToGrid w:val="0"/>
            </w:pPr>
            <w:r>
              <w:rPr>
                <w:rFonts w:hint="eastAsia"/>
              </w:rPr>
              <w:t>建筑工程设计技术人员，建筑智能化产品生产一线技术员，建筑工程施工管理、监理人员、售后维保工程师</w:t>
            </w:r>
          </w:p>
        </w:tc>
        <w:tc>
          <w:tcPr>
            <w:tcW w:w="2124" w:type="dxa"/>
            <w:vAlign w:val="center"/>
          </w:tcPr>
          <w:p>
            <w:pPr>
              <w:adjustRightInd w:val="0"/>
              <w:snapToGrid w:val="0"/>
            </w:pPr>
            <w:r>
              <w:rPr>
                <w:rFonts w:hint="eastAsia"/>
              </w:rPr>
              <w:t>智能楼宇管理师/维修电工</w:t>
            </w:r>
          </w:p>
        </w:tc>
        <w:tc>
          <w:tcPr>
            <w:tcW w:w="681" w:type="dxa"/>
            <w:vAlign w:val="center"/>
          </w:tcPr>
          <w:p>
            <w:pPr>
              <w:adjustRightInd w:val="0"/>
              <w:snapToGrid w:val="0"/>
            </w:pPr>
            <w:r>
              <w:rPr>
                <w:rFonts w:hint="eastAsia"/>
              </w:rPr>
              <w:t>三级/中级</w:t>
            </w:r>
          </w:p>
        </w:tc>
        <w:tc>
          <w:tcPr>
            <w:tcW w:w="1616" w:type="dxa"/>
            <w:vAlign w:val="center"/>
          </w:tcPr>
          <w:p>
            <w:pPr>
              <w:adjustRightInd w:val="0"/>
              <w:snapToGrid w:val="0"/>
            </w:pPr>
            <w:r>
              <w:rPr>
                <w:rFonts w:hint="eastAsia"/>
              </w:rPr>
              <w:t>职业资格鉴定单位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846" w:type="dxa"/>
            <w:vMerge w:val="restart"/>
            <w:vAlign w:val="center"/>
          </w:tcPr>
          <w:p>
            <w:pPr>
              <w:adjustRightInd w:val="0"/>
              <w:snapToGrid w:val="0"/>
              <w:jc w:val="center"/>
            </w:pPr>
            <w:r>
              <w:rPr>
                <w:rFonts w:hint="eastAsia"/>
              </w:rPr>
              <w:t>2</w:t>
            </w:r>
          </w:p>
        </w:tc>
        <w:tc>
          <w:tcPr>
            <w:tcW w:w="1245" w:type="dxa"/>
            <w:vMerge w:val="restart"/>
            <w:vAlign w:val="center"/>
          </w:tcPr>
          <w:p>
            <w:pPr>
              <w:adjustRightInd w:val="0"/>
              <w:snapToGrid w:val="0"/>
            </w:pPr>
            <w:r>
              <w:rPr>
                <w:rFonts w:hint="eastAsia"/>
              </w:rPr>
              <w:t>制冷与空调设备的设计与开发</w:t>
            </w:r>
          </w:p>
        </w:tc>
        <w:tc>
          <w:tcPr>
            <w:tcW w:w="2016" w:type="dxa"/>
            <w:vMerge w:val="restart"/>
            <w:vAlign w:val="center"/>
          </w:tcPr>
          <w:p>
            <w:pPr>
              <w:adjustRightInd w:val="0"/>
              <w:snapToGrid w:val="0"/>
            </w:pPr>
            <w:r>
              <w:rPr>
                <w:rFonts w:hint="eastAsia"/>
              </w:rPr>
              <w:t>小型制冷装置安装调试人员；中央空调系统运行管理人员；暖通空调工程设计人员</w:t>
            </w:r>
          </w:p>
        </w:tc>
        <w:tc>
          <w:tcPr>
            <w:tcW w:w="2124" w:type="dxa"/>
            <w:vAlign w:val="center"/>
          </w:tcPr>
          <w:p>
            <w:pPr>
              <w:adjustRightInd w:val="0"/>
              <w:snapToGrid w:val="0"/>
            </w:pPr>
            <w:r>
              <w:rPr>
                <w:rFonts w:hint="eastAsia" w:ascii="宋体" w:hAnsi="宋体" w:cs="宋体"/>
              </w:rPr>
              <w:t>计算机辅助设计员</w:t>
            </w:r>
          </w:p>
        </w:tc>
        <w:tc>
          <w:tcPr>
            <w:tcW w:w="681" w:type="dxa"/>
            <w:vMerge w:val="restart"/>
            <w:vAlign w:val="center"/>
          </w:tcPr>
          <w:p>
            <w:pPr>
              <w:adjustRightInd w:val="0"/>
              <w:snapToGrid w:val="0"/>
            </w:pPr>
            <w:r>
              <w:rPr>
                <w:rFonts w:hint="eastAsia" w:ascii="宋体" w:hAnsi="宋体" w:cs="宋体"/>
              </w:rPr>
              <w:t>四级证书</w:t>
            </w:r>
          </w:p>
        </w:tc>
        <w:tc>
          <w:tcPr>
            <w:tcW w:w="1616" w:type="dxa"/>
            <w:vMerge w:val="restart"/>
            <w:vAlign w:val="center"/>
          </w:tcPr>
          <w:p>
            <w:pPr>
              <w:widowControl/>
              <w:shd w:val="clear" w:color="auto" w:fill="FFFFFF"/>
              <w:adjustRightInd w:val="0"/>
              <w:snapToGrid w:val="0"/>
              <w:jc w:val="left"/>
            </w:pPr>
            <w:r>
              <w:rPr>
                <w:rFonts w:hint="eastAsia" w:eastAsia="方正仿宋_GBK"/>
              </w:rPr>
              <w:t>江苏省职业技能鉴定中心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46" w:type="dxa"/>
            <w:vMerge w:val="continue"/>
            <w:vAlign w:val="center"/>
          </w:tcPr>
          <w:p>
            <w:pPr>
              <w:adjustRightInd w:val="0"/>
              <w:snapToGrid w:val="0"/>
              <w:jc w:val="center"/>
            </w:pPr>
          </w:p>
        </w:tc>
        <w:tc>
          <w:tcPr>
            <w:tcW w:w="1245" w:type="dxa"/>
            <w:vMerge w:val="continue"/>
            <w:vAlign w:val="center"/>
          </w:tcPr>
          <w:p>
            <w:pPr>
              <w:adjustRightInd w:val="0"/>
              <w:snapToGrid w:val="0"/>
              <w:rPr>
                <w:rFonts w:ascii="宋体" w:hAnsi="宋体" w:cs="宋体"/>
              </w:rPr>
            </w:pPr>
          </w:p>
        </w:tc>
        <w:tc>
          <w:tcPr>
            <w:tcW w:w="2016" w:type="dxa"/>
            <w:vMerge w:val="continue"/>
            <w:vAlign w:val="center"/>
          </w:tcPr>
          <w:p>
            <w:pPr>
              <w:adjustRightInd w:val="0"/>
              <w:snapToGrid w:val="0"/>
              <w:rPr>
                <w:rFonts w:ascii="宋体" w:hAnsi="宋体" w:cs="宋体"/>
              </w:rPr>
            </w:pPr>
          </w:p>
        </w:tc>
        <w:tc>
          <w:tcPr>
            <w:tcW w:w="2124" w:type="dxa"/>
            <w:vAlign w:val="center"/>
          </w:tcPr>
          <w:p>
            <w:pPr>
              <w:adjustRightInd w:val="0"/>
              <w:snapToGrid w:val="0"/>
            </w:pPr>
            <w:r>
              <w:rPr>
                <w:rFonts w:hint="eastAsia" w:ascii="宋体" w:hAnsi="宋体" w:cs="宋体"/>
              </w:rPr>
              <w:t>制冷设备维修工</w:t>
            </w:r>
          </w:p>
        </w:tc>
        <w:tc>
          <w:tcPr>
            <w:tcW w:w="681" w:type="dxa"/>
            <w:vMerge w:val="continue"/>
            <w:vAlign w:val="center"/>
          </w:tcPr>
          <w:p>
            <w:pPr>
              <w:adjustRightInd w:val="0"/>
              <w:snapToGrid w:val="0"/>
              <w:rPr>
                <w:rFonts w:ascii="宋体" w:hAnsi="宋体" w:cs="宋体"/>
              </w:rPr>
            </w:pPr>
          </w:p>
        </w:tc>
        <w:tc>
          <w:tcPr>
            <w:tcW w:w="1616" w:type="dxa"/>
            <w:vMerge w:val="continue"/>
            <w:vAlign w:val="center"/>
          </w:tcPr>
          <w:p>
            <w:pPr>
              <w:adjustRightInd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846" w:type="dxa"/>
            <w:vAlign w:val="center"/>
          </w:tcPr>
          <w:p>
            <w:pPr>
              <w:adjustRightInd w:val="0"/>
              <w:snapToGrid w:val="0"/>
              <w:jc w:val="center"/>
            </w:pPr>
            <w:r>
              <w:rPr>
                <w:rFonts w:hint="eastAsia"/>
              </w:rPr>
              <w:t>3</w:t>
            </w:r>
          </w:p>
        </w:tc>
        <w:tc>
          <w:tcPr>
            <w:tcW w:w="1245" w:type="dxa"/>
            <w:vAlign w:val="center"/>
          </w:tcPr>
          <w:p>
            <w:pPr>
              <w:adjustRightInd w:val="0"/>
              <w:snapToGrid w:val="0"/>
            </w:pPr>
            <w:r>
              <w:rPr>
                <w:rFonts w:hint="eastAsia" w:ascii="宋体" w:hAnsi="宋体" w:cs="宋体"/>
              </w:rPr>
              <w:t>制冷与空调设备的制造</w:t>
            </w:r>
          </w:p>
        </w:tc>
        <w:tc>
          <w:tcPr>
            <w:tcW w:w="2016" w:type="dxa"/>
            <w:vAlign w:val="center"/>
          </w:tcPr>
          <w:p>
            <w:pPr>
              <w:adjustRightInd w:val="0"/>
              <w:snapToGrid w:val="0"/>
            </w:pPr>
            <w:r>
              <w:rPr>
                <w:rFonts w:hint="eastAsia" w:ascii="宋体" w:hAnsi="宋体" w:cs="宋体"/>
              </w:rPr>
              <w:t>制冷与空调设备制造技术员</w:t>
            </w:r>
          </w:p>
        </w:tc>
        <w:tc>
          <w:tcPr>
            <w:tcW w:w="2124" w:type="dxa"/>
            <w:vAlign w:val="center"/>
          </w:tcPr>
          <w:p>
            <w:pPr>
              <w:adjustRightInd w:val="0"/>
              <w:snapToGrid w:val="0"/>
            </w:pPr>
            <w:r>
              <w:rPr>
                <w:rFonts w:hint="eastAsia" w:ascii="宋体" w:hAnsi="宋体" w:cs="宋体"/>
              </w:rPr>
              <w:t>电焊工，钳工</w:t>
            </w:r>
          </w:p>
        </w:tc>
        <w:tc>
          <w:tcPr>
            <w:tcW w:w="681" w:type="dxa"/>
            <w:vAlign w:val="center"/>
          </w:tcPr>
          <w:p>
            <w:pPr>
              <w:adjustRightInd w:val="0"/>
              <w:snapToGrid w:val="0"/>
            </w:pPr>
            <w:r>
              <w:rPr>
                <w:rFonts w:hint="eastAsia" w:ascii="宋体" w:hAnsi="宋体" w:cs="宋体"/>
              </w:rPr>
              <w:t>四级证书</w:t>
            </w:r>
          </w:p>
        </w:tc>
        <w:tc>
          <w:tcPr>
            <w:tcW w:w="1616" w:type="dxa"/>
            <w:vAlign w:val="center"/>
          </w:tcPr>
          <w:p>
            <w:pPr>
              <w:adjustRightInd w:val="0"/>
              <w:snapToGrid w:val="0"/>
            </w:pPr>
            <w:r>
              <w:rPr>
                <w:rFonts w:hint="eastAsia" w:eastAsia="方正仿宋_GBK"/>
              </w:rPr>
              <w:t>江苏省职业技能鉴定中心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46" w:type="dxa"/>
            <w:vMerge w:val="restart"/>
            <w:vAlign w:val="center"/>
          </w:tcPr>
          <w:p>
            <w:pPr>
              <w:adjustRightInd w:val="0"/>
              <w:snapToGrid w:val="0"/>
              <w:jc w:val="center"/>
            </w:pPr>
            <w:r>
              <w:rPr>
                <w:rFonts w:hint="eastAsia"/>
              </w:rPr>
              <w:t>4</w:t>
            </w:r>
          </w:p>
        </w:tc>
        <w:tc>
          <w:tcPr>
            <w:tcW w:w="1245" w:type="dxa"/>
            <w:vMerge w:val="restart"/>
            <w:vAlign w:val="center"/>
          </w:tcPr>
          <w:p>
            <w:pPr>
              <w:adjustRightInd w:val="0"/>
              <w:snapToGrid w:val="0"/>
            </w:pPr>
            <w:r>
              <w:rPr>
                <w:rFonts w:hint="eastAsia" w:ascii="宋体" w:hAnsi="宋体" w:cs="宋体"/>
              </w:rPr>
              <w:t>制冷与空调设备技术管理</w:t>
            </w:r>
          </w:p>
        </w:tc>
        <w:tc>
          <w:tcPr>
            <w:tcW w:w="2016" w:type="dxa"/>
            <w:vMerge w:val="restart"/>
            <w:vAlign w:val="center"/>
          </w:tcPr>
          <w:p>
            <w:pPr>
              <w:adjustRightInd w:val="0"/>
              <w:snapToGrid w:val="0"/>
            </w:pPr>
            <w:r>
              <w:rPr>
                <w:rFonts w:hint="eastAsia" w:ascii="宋体" w:hAnsi="宋体" w:cs="宋体"/>
              </w:rPr>
              <w:t>制冷及暖通机械设备技术管理员及工艺员</w:t>
            </w:r>
          </w:p>
        </w:tc>
        <w:tc>
          <w:tcPr>
            <w:tcW w:w="2124" w:type="dxa"/>
            <w:vAlign w:val="center"/>
          </w:tcPr>
          <w:p>
            <w:pPr>
              <w:adjustRightInd w:val="0"/>
              <w:snapToGrid w:val="0"/>
            </w:pPr>
            <w:r>
              <w:rPr>
                <w:rFonts w:hint="eastAsia" w:ascii="宋体" w:hAnsi="宋体" w:cs="宋体"/>
              </w:rPr>
              <w:t>计算机操作员</w:t>
            </w:r>
          </w:p>
        </w:tc>
        <w:tc>
          <w:tcPr>
            <w:tcW w:w="681" w:type="dxa"/>
            <w:vMerge w:val="restart"/>
            <w:vAlign w:val="center"/>
          </w:tcPr>
          <w:p>
            <w:pPr>
              <w:adjustRightInd w:val="0"/>
              <w:snapToGrid w:val="0"/>
            </w:pPr>
            <w:r>
              <w:rPr>
                <w:rFonts w:hint="eastAsia" w:ascii="宋体" w:hAnsi="宋体" w:cs="宋体"/>
              </w:rPr>
              <w:t>四级证书</w:t>
            </w:r>
          </w:p>
        </w:tc>
        <w:tc>
          <w:tcPr>
            <w:tcW w:w="1616" w:type="dxa"/>
            <w:vMerge w:val="restart"/>
            <w:vAlign w:val="center"/>
          </w:tcPr>
          <w:p>
            <w:pPr>
              <w:adjustRightInd w:val="0"/>
              <w:snapToGrid w:val="0"/>
            </w:pPr>
            <w:r>
              <w:rPr>
                <w:rFonts w:hint="eastAsia" w:eastAsia="方正仿宋_GBK"/>
              </w:rPr>
              <w:t>江苏省职业技能鉴定中心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6" w:type="dxa"/>
            <w:vMerge w:val="continue"/>
            <w:vAlign w:val="center"/>
          </w:tcPr>
          <w:p>
            <w:pPr>
              <w:ind w:firstLine="480"/>
              <w:jc w:val="center"/>
            </w:pPr>
          </w:p>
        </w:tc>
        <w:tc>
          <w:tcPr>
            <w:tcW w:w="1245" w:type="dxa"/>
            <w:vMerge w:val="continue"/>
            <w:vAlign w:val="center"/>
          </w:tcPr>
          <w:p>
            <w:pPr>
              <w:ind w:firstLine="480"/>
              <w:rPr>
                <w:rFonts w:ascii="宋体" w:hAnsi="宋体" w:cs="宋体"/>
              </w:rPr>
            </w:pPr>
          </w:p>
        </w:tc>
        <w:tc>
          <w:tcPr>
            <w:tcW w:w="2016" w:type="dxa"/>
            <w:vMerge w:val="continue"/>
            <w:vAlign w:val="center"/>
          </w:tcPr>
          <w:p>
            <w:pPr>
              <w:ind w:firstLine="480"/>
              <w:rPr>
                <w:rFonts w:ascii="宋体" w:hAnsi="宋体" w:cs="宋体"/>
              </w:rPr>
            </w:pPr>
          </w:p>
        </w:tc>
        <w:tc>
          <w:tcPr>
            <w:tcW w:w="2124" w:type="dxa"/>
            <w:vAlign w:val="center"/>
          </w:tcPr>
          <w:p>
            <w:pPr>
              <w:adjustRightInd w:val="0"/>
              <w:snapToGrid w:val="0"/>
              <w:rPr>
                <w:rFonts w:ascii="宋体" w:hAnsi="宋体" w:cs="宋体"/>
              </w:rPr>
            </w:pPr>
            <w:r>
              <w:rPr>
                <w:rFonts w:hint="eastAsia" w:ascii="宋体" w:hAnsi="宋体" w:cs="宋体"/>
              </w:rPr>
              <w:t>计算机辅助设计员</w:t>
            </w:r>
          </w:p>
        </w:tc>
        <w:tc>
          <w:tcPr>
            <w:tcW w:w="681" w:type="dxa"/>
            <w:vMerge w:val="continue"/>
            <w:vAlign w:val="center"/>
          </w:tcPr>
          <w:p>
            <w:pPr>
              <w:adjustRightInd w:val="0"/>
              <w:snapToGrid w:val="0"/>
              <w:rPr>
                <w:rFonts w:ascii="宋体" w:hAnsi="宋体" w:cs="宋体"/>
              </w:rPr>
            </w:pPr>
          </w:p>
        </w:tc>
        <w:tc>
          <w:tcPr>
            <w:tcW w:w="1616" w:type="dxa"/>
            <w:vMerge w:val="continue"/>
            <w:vAlign w:val="center"/>
          </w:tcPr>
          <w:p>
            <w:pPr>
              <w:adjustRightInd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846" w:type="dxa"/>
            <w:vMerge w:val="continue"/>
            <w:vAlign w:val="center"/>
          </w:tcPr>
          <w:p>
            <w:pPr>
              <w:ind w:firstLine="480"/>
              <w:jc w:val="center"/>
            </w:pPr>
          </w:p>
        </w:tc>
        <w:tc>
          <w:tcPr>
            <w:tcW w:w="1245" w:type="dxa"/>
            <w:vMerge w:val="continue"/>
            <w:vAlign w:val="center"/>
          </w:tcPr>
          <w:p>
            <w:pPr>
              <w:ind w:firstLine="480"/>
              <w:rPr>
                <w:rFonts w:ascii="宋体" w:hAnsi="宋体" w:cs="宋体"/>
              </w:rPr>
            </w:pPr>
          </w:p>
        </w:tc>
        <w:tc>
          <w:tcPr>
            <w:tcW w:w="2016" w:type="dxa"/>
            <w:vMerge w:val="continue"/>
            <w:vAlign w:val="center"/>
          </w:tcPr>
          <w:p>
            <w:pPr>
              <w:ind w:firstLine="480"/>
              <w:rPr>
                <w:rFonts w:ascii="宋体" w:hAnsi="宋体" w:cs="宋体"/>
              </w:rPr>
            </w:pPr>
          </w:p>
        </w:tc>
        <w:tc>
          <w:tcPr>
            <w:tcW w:w="2124" w:type="dxa"/>
            <w:vAlign w:val="center"/>
          </w:tcPr>
          <w:p>
            <w:pPr>
              <w:adjustRightInd w:val="0"/>
              <w:snapToGrid w:val="0"/>
            </w:pPr>
            <w:r>
              <w:rPr>
                <w:rFonts w:hint="eastAsia" w:ascii="宋体" w:hAnsi="宋体" w:cs="宋体"/>
              </w:rPr>
              <w:t>钳工电焊工</w:t>
            </w:r>
          </w:p>
        </w:tc>
        <w:tc>
          <w:tcPr>
            <w:tcW w:w="681" w:type="dxa"/>
            <w:vMerge w:val="continue"/>
            <w:vAlign w:val="center"/>
          </w:tcPr>
          <w:p>
            <w:pPr>
              <w:adjustRightInd w:val="0"/>
              <w:snapToGrid w:val="0"/>
              <w:rPr>
                <w:rFonts w:ascii="宋体" w:hAnsi="宋体" w:cs="宋体"/>
              </w:rPr>
            </w:pPr>
          </w:p>
        </w:tc>
        <w:tc>
          <w:tcPr>
            <w:tcW w:w="1616" w:type="dxa"/>
            <w:vMerge w:val="continue"/>
            <w:vAlign w:val="center"/>
          </w:tcPr>
          <w:p>
            <w:pPr>
              <w:adjustRightInd w:val="0"/>
              <w:snapToGrid w:val="0"/>
            </w:pPr>
          </w:p>
        </w:tc>
      </w:tr>
    </w:tbl>
    <w:p/>
    <w:p>
      <w:pPr>
        <w:pStyle w:val="2"/>
        <w:numPr>
          <w:ilvl w:val="0"/>
          <w:numId w:val="1"/>
        </w:numPr>
        <w:spacing w:before="312" w:after="312"/>
        <w:ind w:firstLine="0" w:firstLineChars="0"/>
        <w:rPr>
          <w:rFonts w:ascii="微软雅黑" w:hAnsi="微软雅黑" w:eastAsia="微软雅黑"/>
          <w:b/>
          <w:color w:val="auto"/>
          <w:sz w:val="28"/>
          <w:szCs w:val="28"/>
        </w:rPr>
      </w:pPr>
      <w:r>
        <w:rPr>
          <w:rFonts w:hint="eastAsia" w:ascii="微软雅黑" w:hAnsi="微软雅黑" w:eastAsia="微软雅黑"/>
          <w:b/>
          <w:color w:val="auto"/>
          <w:sz w:val="28"/>
          <w:szCs w:val="28"/>
        </w:rPr>
        <w:t>专业核心课程</w:t>
      </w:r>
    </w:p>
    <w:p>
      <w:pPr>
        <w:adjustRightIn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综合布线、综合布线实习、消防与报警设备、安全防范技术、安全防范技术实习、智能楼宇电气设备、中央空调施工与运行管理、冷库运行与管理、专业综合技能实训考证、工程造价、建筑设备三维设计等。</w:t>
      </w:r>
    </w:p>
    <w:p>
      <w:pPr>
        <w:pStyle w:val="2"/>
        <w:spacing w:before="312" w:after="312"/>
        <w:ind w:firstLine="0" w:firstLineChars="0"/>
        <w:rPr>
          <w:rFonts w:ascii="微软雅黑" w:hAnsi="微软雅黑" w:eastAsia="微软雅黑"/>
          <w:b/>
          <w:color w:val="auto"/>
          <w:sz w:val="28"/>
          <w:szCs w:val="28"/>
        </w:rPr>
      </w:pPr>
      <w:r>
        <w:rPr>
          <w:rFonts w:hint="eastAsia" w:ascii="微软雅黑" w:hAnsi="微软雅黑" w:eastAsia="微软雅黑"/>
          <w:b/>
          <w:color w:val="auto"/>
          <w:sz w:val="28"/>
          <w:szCs w:val="28"/>
        </w:rPr>
        <w:t>（五）毕业资格条件</w:t>
      </w:r>
    </w:p>
    <w:p>
      <w:pPr>
        <w:pStyle w:val="2"/>
        <w:spacing w:before="312" w:after="312"/>
        <w:ind w:left="420" w:leftChars="200" w:firstLine="0" w:firstLineChars="0"/>
        <w:rPr>
          <w:color w:val="auto"/>
        </w:rPr>
      </w:pPr>
      <w:bookmarkStart w:id="10" w:name="_Toc393236439"/>
      <w:bookmarkStart w:id="11" w:name="_Toc396497636"/>
      <w:bookmarkStart w:id="12" w:name="_Toc396497528"/>
      <w:bookmarkStart w:id="13" w:name="_Toc396501702"/>
      <w:bookmarkStart w:id="14" w:name="_Toc396497326"/>
      <w:r>
        <w:rPr>
          <w:rFonts w:hint="eastAsia"/>
          <w:color w:val="auto"/>
        </w:rPr>
        <w:t>1</w:t>
      </w:r>
      <w:r>
        <w:rPr>
          <w:color w:val="auto"/>
        </w:rPr>
        <w:t>.</w:t>
      </w:r>
      <w:r>
        <w:rPr>
          <w:rFonts w:hint="eastAsia"/>
          <w:color w:val="auto"/>
        </w:rPr>
        <w:t>学分要求</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为保证学生素质的全面提升，学生毕业共须修满158.5学分，其中通识必修课应修满</w:t>
      </w:r>
      <w:r>
        <w:rPr>
          <w:rFonts w:asciiTheme="minorEastAsia" w:hAnsiTheme="minorEastAsia" w:eastAsiaTheme="minorEastAsia"/>
          <w:sz w:val="28"/>
          <w:szCs w:val="28"/>
        </w:rPr>
        <w:t>46</w:t>
      </w:r>
      <w:r>
        <w:rPr>
          <w:rFonts w:hint="eastAsia" w:asciiTheme="minorEastAsia" w:hAnsiTheme="minorEastAsia" w:eastAsiaTheme="minorEastAsia"/>
          <w:sz w:val="28"/>
          <w:szCs w:val="28"/>
        </w:rPr>
        <w:t>学分（含通识任选课 4 学分）；专业课程 97.5 学分；素质拓展课程修满 10 学分，社会实践课程修满 5 学分。各类课程学分可根据《江苏海院学分积累、转换和认定办法》予以认定。</w:t>
      </w:r>
    </w:p>
    <w:p>
      <w:pPr>
        <w:pStyle w:val="2"/>
        <w:spacing w:before="312" w:after="312"/>
        <w:ind w:left="420" w:leftChars="200" w:firstLine="0" w:firstLineChars="0"/>
        <w:rPr>
          <w:color w:val="auto"/>
        </w:rPr>
      </w:pPr>
      <w:r>
        <w:rPr>
          <w:rFonts w:hint="eastAsia"/>
          <w:color w:val="auto"/>
        </w:rPr>
        <w:t>2</w:t>
      </w:r>
      <w:r>
        <w:rPr>
          <w:color w:val="auto"/>
        </w:rPr>
        <w:t>.</w:t>
      </w:r>
      <w:r>
        <w:rPr>
          <w:rFonts w:hint="eastAsia"/>
          <w:color w:val="auto"/>
        </w:rPr>
        <w:t>外语水平要求</w:t>
      </w:r>
    </w:p>
    <w:p>
      <w:pPr>
        <w:ind w:firstLine="565" w:firstLineChars="202"/>
        <w:rPr>
          <w:rFonts w:asciiTheme="minorEastAsia" w:hAnsiTheme="minorEastAsia" w:eastAsiaTheme="minorEastAsia"/>
          <w:sz w:val="28"/>
          <w:szCs w:val="28"/>
        </w:rPr>
      </w:pPr>
      <w:r>
        <w:rPr>
          <w:rFonts w:hint="eastAsia" w:asciiTheme="minorEastAsia" w:hAnsiTheme="minorEastAsia" w:eastAsiaTheme="minorEastAsia"/>
          <w:sz w:val="28"/>
          <w:szCs w:val="28"/>
        </w:rPr>
        <w:t>能熟练运用英语进行简单的交流，完成校内英语类课程学习，取得相应学分；为鼓励学生考取更高等级英语证书，对考取高校英语应用能力 A 级及以上证书或口语证书的学生，可以用证书置换高职英语课程学分，成绩认定为 85 分（A 级或口语）、90 分（四级）或 95 分（六级），可申请课程免修。</w:t>
      </w:r>
    </w:p>
    <w:p>
      <w:pPr>
        <w:pStyle w:val="2"/>
        <w:spacing w:before="312" w:after="312"/>
        <w:ind w:left="420" w:leftChars="200" w:firstLine="0" w:firstLineChars="0"/>
        <w:rPr>
          <w:color w:val="auto"/>
        </w:rPr>
      </w:pPr>
      <w:r>
        <w:rPr>
          <w:rFonts w:hint="eastAsia"/>
          <w:color w:val="auto"/>
        </w:rPr>
        <w:t>3</w:t>
      </w:r>
      <w:r>
        <w:rPr>
          <w:color w:val="auto"/>
        </w:rPr>
        <w:t>.</w:t>
      </w:r>
      <w:r>
        <w:rPr>
          <w:rFonts w:hint="eastAsia"/>
          <w:color w:val="auto"/>
        </w:rPr>
        <w:t>职业资格和职业技能证书要求</w:t>
      </w:r>
    </w:p>
    <w:p>
      <w:pPr>
        <w:adjustRightInd w:val="0"/>
        <w:snapToGrid w:val="0"/>
        <w:spacing w:line="360" w:lineRule="auto"/>
        <w:ind w:firstLine="570"/>
        <w:rPr>
          <w:rFonts w:ascii="Times New Roman"/>
          <w:sz w:val="28"/>
          <w:szCs w:val="28"/>
        </w:rPr>
      </w:pPr>
      <w:r>
        <w:rPr>
          <w:rFonts w:hint="eastAsia" w:ascii="Times New Roman"/>
          <w:sz w:val="28"/>
          <w:szCs w:val="28"/>
        </w:rPr>
        <w:t>获得本专业相应的职业技能或职业资格证书，如制冷空调系统安装维修工或者中级电工证或助理智能楼宇管理师资格证书或BIM工程专业技能证书，颁证单位为江苏省人力资源社会保障厅，或者其他相关资格证书。</w:t>
      </w:r>
    </w:p>
    <w:p>
      <w:pPr>
        <w:pStyle w:val="2"/>
        <w:spacing w:before="312" w:after="312"/>
        <w:ind w:left="420" w:leftChars="200" w:firstLine="0" w:firstLineChars="0"/>
        <w:rPr>
          <w:color w:val="auto"/>
        </w:rPr>
      </w:pPr>
      <w:r>
        <w:rPr>
          <w:color w:val="auto"/>
        </w:rPr>
        <w:t>4.</w:t>
      </w:r>
      <w:r>
        <w:rPr>
          <w:rFonts w:hint="eastAsia"/>
          <w:color w:val="auto"/>
        </w:rPr>
        <w:t>操行合格要求</w:t>
      </w:r>
    </w:p>
    <w:p>
      <w:pPr>
        <w:spacing w:line="360" w:lineRule="auto"/>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根据《江苏海事职业技术学院学生操行积分管理办法》对学生进行德育素质考核，考核结果合格及以上。</w:t>
      </w:r>
    </w:p>
    <w:p>
      <w:pPr>
        <w:pStyle w:val="2"/>
        <w:spacing w:before="312" w:after="312"/>
        <w:ind w:left="420" w:leftChars="200" w:firstLine="0" w:firstLineChars="0"/>
        <w:rPr>
          <w:color w:val="auto"/>
        </w:rPr>
      </w:pPr>
      <w:r>
        <w:rPr>
          <w:color w:val="auto"/>
        </w:rPr>
        <w:t>5.</w:t>
      </w:r>
      <w:r>
        <w:rPr>
          <w:rFonts w:hint="eastAsia"/>
          <w:color w:val="auto"/>
        </w:rPr>
        <w:t>体育合格要求</w:t>
      </w:r>
    </w:p>
    <w:p>
      <w:pPr>
        <w:spacing w:line="360" w:lineRule="auto"/>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根据《国家学生体质健康标准》对学生进行体质测试，考核结果合格以上。</w:t>
      </w:r>
    </w:p>
    <w:p>
      <w:pPr>
        <w:pStyle w:val="2"/>
        <w:spacing w:before="312" w:after="312"/>
        <w:ind w:firstLine="0" w:firstLineChars="0"/>
        <w:rPr>
          <w:rFonts w:ascii="微软雅黑" w:hAnsi="微软雅黑" w:eastAsia="微软雅黑"/>
          <w:b/>
          <w:color w:val="auto"/>
          <w:sz w:val="28"/>
          <w:szCs w:val="28"/>
        </w:rPr>
      </w:pPr>
      <w:r>
        <w:rPr>
          <w:rFonts w:hint="eastAsia" w:ascii="微软雅黑" w:hAnsi="微软雅黑" w:eastAsia="微软雅黑"/>
          <w:b/>
          <w:color w:val="auto"/>
          <w:sz w:val="28"/>
          <w:szCs w:val="28"/>
        </w:rPr>
        <w:t>二</w:t>
      </w:r>
      <w:r>
        <w:rPr>
          <w:rFonts w:ascii="微软雅黑" w:hAnsi="微软雅黑" w:eastAsia="微软雅黑"/>
          <w:b/>
          <w:color w:val="auto"/>
          <w:sz w:val="28"/>
          <w:szCs w:val="28"/>
        </w:rPr>
        <w:t>、</w:t>
      </w:r>
      <w:r>
        <w:rPr>
          <w:rFonts w:hint="eastAsia" w:ascii="微软雅黑" w:hAnsi="微软雅黑" w:eastAsia="微软雅黑"/>
          <w:b/>
          <w:color w:val="auto"/>
          <w:sz w:val="28"/>
          <w:szCs w:val="28"/>
        </w:rPr>
        <w:t>转专业录取办法</w:t>
      </w:r>
    </w:p>
    <w:p>
      <w:pPr>
        <w:pStyle w:val="2"/>
        <w:spacing w:before="312" w:after="312"/>
        <w:ind w:firstLine="0" w:firstLineChars="0"/>
        <w:rPr>
          <w:rFonts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一</w:t>
      </w:r>
      <w:r>
        <w:rPr>
          <w:rFonts w:ascii="微软雅黑" w:hAnsi="微软雅黑" w:eastAsia="微软雅黑"/>
          <w:b/>
          <w:color w:val="auto"/>
          <w:sz w:val="28"/>
          <w:szCs w:val="28"/>
        </w:rPr>
        <w:t>）</w:t>
      </w:r>
      <w:r>
        <w:rPr>
          <w:rFonts w:hint="eastAsia" w:ascii="微软雅黑" w:hAnsi="微软雅黑" w:eastAsia="微软雅黑"/>
          <w:b/>
          <w:color w:val="auto"/>
          <w:sz w:val="28"/>
          <w:szCs w:val="28"/>
        </w:rPr>
        <w:t>接受对象</w:t>
      </w:r>
    </w:p>
    <w:p>
      <w:pPr>
        <w:adjustRightInd w:val="0"/>
        <w:snapToGrid w:val="0"/>
        <w:spacing w:line="360" w:lineRule="auto"/>
        <w:ind w:firstLine="480"/>
        <w:rPr>
          <w:rFonts w:ascii="Times New Roman" w:hAnsi="Times New Roman"/>
          <w:sz w:val="28"/>
          <w:szCs w:val="28"/>
        </w:rPr>
      </w:pPr>
      <w:r>
        <w:rPr>
          <w:rFonts w:hint="eastAsia" w:ascii="Times New Roman" w:hAnsi="Times New Roman"/>
          <w:sz w:val="28"/>
          <w:szCs w:val="28"/>
        </w:rPr>
        <w:t>符合《江苏海事职业技术学院学生学籍管理办法》遴选方案规定的相关学生。</w:t>
      </w:r>
    </w:p>
    <w:p>
      <w:pPr>
        <w:pStyle w:val="2"/>
        <w:spacing w:before="312" w:after="312"/>
        <w:ind w:firstLine="0" w:firstLineChars="0"/>
        <w:rPr>
          <w:rFonts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二</w:t>
      </w:r>
      <w:r>
        <w:rPr>
          <w:rFonts w:ascii="微软雅黑" w:hAnsi="微软雅黑" w:eastAsia="微软雅黑"/>
          <w:b/>
          <w:color w:val="auto"/>
          <w:sz w:val="28"/>
          <w:szCs w:val="28"/>
        </w:rPr>
        <w:t>）</w:t>
      </w:r>
      <w:r>
        <w:rPr>
          <w:rFonts w:hint="eastAsia" w:ascii="微软雅黑" w:hAnsi="微软雅黑" w:eastAsia="微软雅黑"/>
          <w:b/>
          <w:color w:val="auto"/>
          <w:sz w:val="28"/>
          <w:szCs w:val="28"/>
        </w:rPr>
        <w:t>遴选方案</w:t>
      </w:r>
    </w:p>
    <w:bookmarkEnd w:id="10"/>
    <w:bookmarkEnd w:id="11"/>
    <w:bookmarkEnd w:id="12"/>
    <w:bookmarkEnd w:id="13"/>
    <w:bookmarkEnd w:id="14"/>
    <w:p>
      <w:pPr>
        <w:ind w:firstLine="555"/>
        <w:rPr>
          <w:rFonts w:hint="eastAsia" w:ascii="宋体" w:hAnsi="宋体" w:eastAsia="宋体"/>
          <w:sz w:val="28"/>
          <w:szCs w:val="28"/>
          <w:lang w:val="en-US" w:eastAsia="zh-CN"/>
        </w:rPr>
      </w:pPr>
      <w:r>
        <w:rPr>
          <w:rFonts w:hint="eastAsia" w:ascii="宋体" w:hAnsi="宋体" w:eastAsia="宋体"/>
          <w:sz w:val="28"/>
          <w:szCs w:val="28"/>
          <w:lang w:val="en-US" w:eastAsia="zh-CN"/>
        </w:rPr>
        <w:t>1．当申请学生数低于可接受转专业计划数时，免试录取。</w:t>
      </w:r>
    </w:p>
    <w:p>
      <w:pPr>
        <w:ind w:firstLine="555"/>
        <w:rPr>
          <w:rFonts w:hint="eastAsia" w:ascii="宋体" w:hAnsi="宋体" w:eastAsia="宋体"/>
          <w:sz w:val="28"/>
          <w:szCs w:val="28"/>
        </w:rPr>
      </w:pPr>
      <w:r>
        <w:rPr>
          <w:rFonts w:hint="eastAsia" w:ascii="宋体" w:hAnsi="宋体" w:eastAsia="宋体"/>
          <w:sz w:val="28"/>
          <w:szCs w:val="28"/>
          <w:lang w:val="en-US" w:eastAsia="zh-CN"/>
        </w:rPr>
        <w:t>2．当申请学生数大于可接受转专业计划数时，组织面试，面试具体程序和时间由轮机电气与智能工程学院安排，不参加面试的学生视为放弃本次转专业机会。</w:t>
      </w:r>
      <w:bookmarkStart w:id="15" w:name="_GoBack"/>
      <w:bookmarkEnd w:id="15"/>
    </w:p>
    <w:p>
      <w:pPr>
        <w:ind w:firstLine="560" w:firstLineChars="200"/>
        <w:rPr>
          <w:rFonts w:ascii="Times New Roman" w:hAnsi="Times New Roman"/>
          <w:sz w:val="28"/>
          <w:szCs w:val="28"/>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swiss"/>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_GBK">
    <w:altName w:val="黑体"/>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C52900"/>
    <w:multiLevelType w:val="singleLevel"/>
    <w:tmpl w:val="54C529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3ZTA0OTM0OWU0NjU1M2ZkNmUzNjA2OWU1ZTEyZmUifQ=="/>
  </w:docVars>
  <w:rsids>
    <w:rsidRoot w:val="00816F75"/>
    <w:rsid w:val="000038C7"/>
    <w:rsid w:val="00007931"/>
    <w:rsid w:val="00014122"/>
    <w:rsid w:val="00015D97"/>
    <w:rsid w:val="00015F76"/>
    <w:rsid w:val="000219DE"/>
    <w:rsid w:val="00035ADF"/>
    <w:rsid w:val="00041A03"/>
    <w:rsid w:val="00043A1D"/>
    <w:rsid w:val="00054579"/>
    <w:rsid w:val="00054585"/>
    <w:rsid w:val="000550CB"/>
    <w:rsid w:val="00061F31"/>
    <w:rsid w:val="00067B56"/>
    <w:rsid w:val="00073F39"/>
    <w:rsid w:val="00075402"/>
    <w:rsid w:val="00075551"/>
    <w:rsid w:val="0008367B"/>
    <w:rsid w:val="00083C59"/>
    <w:rsid w:val="00083DED"/>
    <w:rsid w:val="00085B6D"/>
    <w:rsid w:val="00085C43"/>
    <w:rsid w:val="0008669F"/>
    <w:rsid w:val="000918CB"/>
    <w:rsid w:val="000956F1"/>
    <w:rsid w:val="000A00CF"/>
    <w:rsid w:val="000A0EB6"/>
    <w:rsid w:val="000A62DC"/>
    <w:rsid w:val="000A6911"/>
    <w:rsid w:val="000B5D50"/>
    <w:rsid w:val="000D434A"/>
    <w:rsid w:val="000D6896"/>
    <w:rsid w:val="000E7029"/>
    <w:rsid w:val="000F21AB"/>
    <w:rsid w:val="000F4F92"/>
    <w:rsid w:val="000F75CD"/>
    <w:rsid w:val="00112D75"/>
    <w:rsid w:val="00114BF6"/>
    <w:rsid w:val="00120749"/>
    <w:rsid w:val="0012179F"/>
    <w:rsid w:val="001219A1"/>
    <w:rsid w:val="00160373"/>
    <w:rsid w:val="00160624"/>
    <w:rsid w:val="00163CAB"/>
    <w:rsid w:val="00164FE4"/>
    <w:rsid w:val="00175F7A"/>
    <w:rsid w:val="00176F3A"/>
    <w:rsid w:val="00182CB1"/>
    <w:rsid w:val="001856F9"/>
    <w:rsid w:val="00190B98"/>
    <w:rsid w:val="00191FF6"/>
    <w:rsid w:val="0019454A"/>
    <w:rsid w:val="001A3421"/>
    <w:rsid w:val="001A7A20"/>
    <w:rsid w:val="001B1D3B"/>
    <w:rsid w:val="001B644F"/>
    <w:rsid w:val="001B6CDB"/>
    <w:rsid w:val="001C0A25"/>
    <w:rsid w:val="001C2B09"/>
    <w:rsid w:val="001D0185"/>
    <w:rsid w:val="001D1B72"/>
    <w:rsid w:val="001D277B"/>
    <w:rsid w:val="001E1361"/>
    <w:rsid w:val="001E138C"/>
    <w:rsid w:val="001F0F0E"/>
    <w:rsid w:val="001F75D5"/>
    <w:rsid w:val="0020389C"/>
    <w:rsid w:val="00203CC0"/>
    <w:rsid w:val="00203D4D"/>
    <w:rsid w:val="00204A76"/>
    <w:rsid w:val="00205290"/>
    <w:rsid w:val="00220184"/>
    <w:rsid w:val="00220752"/>
    <w:rsid w:val="002267CC"/>
    <w:rsid w:val="002336A9"/>
    <w:rsid w:val="002361E1"/>
    <w:rsid w:val="002426E9"/>
    <w:rsid w:val="00244444"/>
    <w:rsid w:val="00250B53"/>
    <w:rsid w:val="002526F7"/>
    <w:rsid w:val="00254A23"/>
    <w:rsid w:val="002737B8"/>
    <w:rsid w:val="0028070B"/>
    <w:rsid w:val="00296891"/>
    <w:rsid w:val="002B3EA2"/>
    <w:rsid w:val="002B7D5D"/>
    <w:rsid w:val="002C35DB"/>
    <w:rsid w:val="002C79DD"/>
    <w:rsid w:val="002D3A7E"/>
    <w:rsid w:val="002E0211"/>
    <w:rsid w:val="002E1F8C"/>
    <w:rsid w:val="002E6EEF"/>
    <w:rsid w:val="002E71BF"/>
    <w:rsid w:val="002F5BD7"/>
    <w:rsid w:val="00300158"/>
    <w:rsid w:val="00302481"/>
    <w:rsid w:val="0030288B"/>
    <w:rsid w:val="003055C1"/>
    <w:rsid w:val="0030654B"/>
    <w:rsid w:val="003107AF"/>
    <w:rsid w:val="0031229B"/>
    <w:rsid w:val="00315B23"/>
    <w:rsid w:val="003237F6"/>
    <w:rsid w:val="003240F1"/>
    <w:rsid w:val="00324575"/>
    <w:rsid w:val="003267E6"/>
    <w:rsid w:val="003270CF"/>
    <w:rsid w:val="0033197B"/>
    <w:rsid w:val="003330F8"/>
    <w:rsid w:val="00335D33"/>
    <w:rsid w:val="00342689"/>
    <w:rsid w:val="003478C3"/>
    <w:rsid w:val="0035181D"/>
    <w:rsid w:val="00373FB1"/>
    <w:rsid w:val="003747B6"/>
    <w:rsid w:val="003949E2"/>
    <w:rsid w:val="003A27D2"/>
    <w:rsid w:val="003A56A5"/>
    <w:rsid w:val="003B12EC"/>
    <w:rsid w:val="003B2ACD"/>
    <w:rsid w:val="003B43E0"/>
    <w:rsid w:val="003B6D63"/>
    <w:rsid w:val="003D0082"/>
    <w:rsid w:val="003D0B78"/>
    <w:rsid w:val="003D4C18"/>
    <w:rsid w:val="003E363C"/>
    <w:rsid w:val="003E52D1"/>
    <w:rsid w:val="003F1ABC"/>
    <w:rsid w:val="003F3835"/>
    <w:rsid w:val="003F6CC9"/>
    <w:rsid w:val="004019EC"/>
    <w:rsid w:val="00403D68"/>
    <w:rsid w:val="00431108"/>
    <w:rsid w:val="0043111D"/>
    <w:rsid w:val="004357CF"/>
    <w:rsid w:val="00435EB3"/>
    <w:rsid w:val="0043676D"/>
    <w:rsid w:val="00440C76"/>
    <w:rsid w:val="00441062"/>
    <w:rsid w:val="004426D5"/>
    <w:rsid w:val="00446462"/>
    <w:rsid w:val="004521FC"/>
    <w:rsid w:val="00453E8B"/>
    <w:rsid w:val="004557EF"/>
    <w:rsid w:val="00460E23"/>
    <w:rsid w:val="00460F51"/>
    <w:rsid w:val="00471491"/>
    <w:rsid w:val="00475E2C"/>
    <w:rsid w:val="0048124A"/>
    <w:rsid w:val="00483F55"/>
    <w:rsid w:val="0048635A"/>
    <w:rsid w:val="004905D8"/>
    <w:rsid w:val="0049325A"/>
    <w:rsid w:val="00494FAB"/>
    <w:rsid w:val="004A6F37"/>
    <w:rsid w:val="004B5E17"/>
    <w:rsid w:val="004B6D6A"/>
    <w:rsid w:val="004B6DF3"/>
    <w:rsid w:val="004C26DF"/>
    <w:rsid w:val="004C3E66"/>
    <w:rsid w:val="004C6954"/>
    <w:rsid w:val="004C6D7C"/>
    <w:rsid w:val="004D0783"/>
    <w:rsid w:val="004D0A00"/>
    <w:rsid w:val="004D2E36"/>
    <w:rsid w:val="004D67EF"/>
    <w:rsid w:val="004D7D7F"/>
    <w:rsid w:val="004D7E35"/>
    <w:rsid w:val="004E0E0C"/>
    <w:rsid w:val="004E2779"/>
    <w:rsid w:val="004E3440"/>
    <w:rsid w:val="004E65F4"/>
    <w:rsid w:val="004F41EA"/>
    <w:rsid w:val="004F7FDB"/>
    <w:rsid w:val="00501011"/>
    <w:rsid w:val="00502E56"/>
    <w:rsid w:val="00507A9D"/>
    <w:rsid w:val="00510C17"/>
    <w:rsid w:val="00510CC5"/>
    <w:rsid w:val="00512314"/>
    <w:rsid w:val="0051262F"/>
    <w:rsid w:val="00514DDF"/>
    <w:rsid w:val="00521A0E"/>
    <w:rsid w:val="00522DA6"/>
    <w:rsid w:val="00522E5E"/>
    <w:rsid w:val="00524E21"/>
    <w:rsid w:val="00527C8C"/>
    <w:rsid w:val="0053180B"/>
    <w:rsid w:val="005361CF"/>
    <w:rsid w:val="00536CB8"/>
    <w:rsid w:val="0054095C"/>
    <w:rsid w:val="005433E6"/>
    <w:rsid w:val="00544838"/>
    <w:rsid w:val="00544A59"/>
    <w:rsid w:val="00550C89"/>
    <w:rsid w:val="00551224"/>
    <w:rsid w:val="00554769"/>
    <w:rsid w:val="00554AC4"/>
    <w:rsid w:val="00555BB6"/>
    <w:rsid w:val="0055619A"/>
    <w:rsid w:val="005565BC"/>
    <w:rsid w:val="00557B16"/>
    <w:rsid w:val="00560DE5"/>
    <w:rsid w:val="00570B77"/>
    <w:rsid w:val="005711A2"/>
    <w:rsid w:val="0057421A"/>
    <w:rsid w:val="00576C24"/>
    <w:rsid w:val="005813A4"/>
    <w:rsid w:val="00585D06"/>
    <w:rsid w:val="00585DE4"/>
    <w:rsid w:val="00590375"/>
    <w:rsid w:val="00590857"/>
    <w:rsid w:val="005938CF"/>
    <w:rsid w:val="00594135"/>
    <w:rsid w:val="005A2FBD"/>
    <w:rsid w:val="005A44D4"/>
    <w:rsid w:val="005A588A"/>
    <w:rsid w:val="005B1FA4"/>
    <w:rsid w:val="005B217A"/>
    <w:rsid w:val="005B43F4"/>
    <w:rsid w:val="005B5183"/>
    <w:rsid w:val="005C0065"/>
    <w:rsid w:val="005C0903"/>
    <w:rsid w:val="005C094F"/>
    <w:rsid w:val="005C31B3"/>
    <w:rsid w:val="005C3A02"/>
    <w:rsid w:val="005C5AB5"/>
    <w:rsid w:val="005D0700"/>
    <w:rsid w:val="005F5F38"/>
    <w:rsid w:val="0060057C"/>
    <w:rsid w:val="00611EF5"/>
    <w:rsid w:val="0061432D"/>
    <w:rsid w:val="006150FA"/>
    <w:rsid w:val="00616201"/>
    <w:rsid w:val="0062458E"/>
    <w:rsid w:val="00631247"/>
    <w:rsid w:val="006312C7"/>
    <w:rsid w:val="0063473F"/>
    <w:rsid w:val="006363F2"/>
    <w:rsid w:val="0064192A"/>
    <w:rsid w:val="00642E99"/>
    <w:rsid w:val="006437B3"/>
    <w:rsid w:val="00645BB4"/>
    <w:rsid w:val="006465FF"/>
    <w:rsid w:val="0065426D"/>
    <w:rsid w:val="00660AC7"/>
    <w:rsid w:val="00661B0B"/>
    <w:rsid w:val="00663185"/>
    <w:rsid w:val="00664D0E"/>
    <w:rsid w:val="006671D7"/>
    <w:rsid w:val="00667D40"/>
    <w:rsid w:val="00672710"/>
    <w:rsid w:val="00672E2F"/>
    <w:rsid w:val="006764E6"/>
    <w:rsid w:val="00692C2C"/>
    <w:rsid w:val="006A3954"/>
    <w:rsid w:val="006A57E8"/>
    <w:rsid w:val="006B3F9C"/>
    <w:rsid w:val="006B7C68"/>
    <w:rsid w:val="006D5321"/>
    <w:rsid w:val="006D567F"/>
    <w:rsid w:val="006D626A"/>
    <w:rsid w:val="006E0792"/>
    <w:rsid w:val="006E185E"/>
    <w:rsid w:val="006F060A"/>
    <w:rsid w:val="006F3AC9"/>
    <w:rsid w:val="006F5F7A"/>
    <w:rsid w:val="006F6A60"/>
    <w:rsid w:val="006F71AD"/>
    <w:rsid w:val="00700B39"/>
    <w:rsid w:val="007017ED"/>
    <w:rsid w:val="00710A4D"/>
    <w:rsid w:val="00710DE0"/>
    <w:rsid w:val="007122FB"/>
    <w:rsid w:val="00713554"/>
    <w:rsid w:val="00714161"/>
    <w:rsid w:val="00717F3A"/>
    <w:rsid w:val="00731D73"/>
    <w:rsid w:val="007369FC"/>
    <w:rsid w:val="00737028"/>
    <w:rsid w:val="007403EE"/>
    <w:rsid w:val="007407C0"/>
    <w:rsid w:val="00740B56"/>
    <w:rsid w:val="0075354F"/>
    <w:rsid w:val="00760FB5"/>
    <w:rsid w:val="007678FF"/>
    <w:rsid w:val="00771AF8"/>
    <w:rsid w:val="00775E5C"/>
    <w:rsid w:val="00785768"/>
    <w:rsid w:val="0078791E"/>
    <w:rsid w:val="007916E7"/>
    <w:rsid w:val="007925E8"/>
    <w:rsid w:val="00795B51"/>
    <w:rsid w:val="007A6510"/>
    <w:rsid w:val="007B51CD"/>
    <w:rsid w:val="007B5341"/>
    <w:rsid w:val="007C17A0"/>
    <w:rsid w:val="007C1C2C"/>
    <w:rsid w:val="007C24E0"/>
    <w:rsid w:val="007C7038"/>
    <w:rsid w:val="007C76DE"/>
    <w:rsid w:val="007D25A3"/>
    <w:rsid w:val="007D3826"/>
    <w:rsid w:val="007E3A18"/>
    <w:rsid w:val="007E59E2"/>
    <w:rsid w:val="007E6A5C"/>
    <w:rsid w:val="007F16EA"/>
    <w:rsid w:val="007F3C6F"/>
    <w:rsid w:val="007F6622"/>
    <w:rsid w:val="0080407A"/>
    <w:rsid w:val="00805465"/>
    <w:rsid w:val="008064C0"/>
    <w:rsid w:val="008070CD"/>
    <w:rsid w:val="008148B6"/>
    <w:rsid w:val="008156D8"/>
    <w:rsid w:val="00816F75"/>
    <w:rsid w:val="00821D5D"/>
    <w:rsid w:val="00823C89"/>
    <w:rsid w:val="008272BA"/>
    <w:rsid w:val="00827C69"/>
    <w:rsid w:val="008329E3"/>
    <w:rsid w:val="00834B23"/>
    <w:rsid w:val="008372CC"/>
    <w:rsid w:val="00844269"/>
    <w:rsid w:val="00852F63"/>
    <w:rsid w:val="0085601D"/>
    <w:rsid w:val="008639EC"/>
    <w:rsid w:val="0086522F"/>
    <w:rsid w:val="008702D0"/>
    <w:rsid w:val="00870CD5"/>
    <w:rsid w:val="008738A3"/>
    <w:rsid w:val="0087621F"/>
    <w:rsid w:val="0088236D"/>
    <w:rsid w:val="00885D97"/>
    <w:rsid w:val="008878F0"/>
    <w:rsid w:val="0089419B"/>
    <w:rsid w:val="008A3855"/>
    <w:rsid w:val="008A6679"/>
    <w:rsid w:val="008A7553"/>
    <w:rsid w:val="008B33EE"/>
    <w:rsid w:val="008B614E"/>
    <w:rsid w:val="008C19B6"/>
    <w:rsid w:val="008D051C"/>
    <w:rsid w:val="008D10FE"/>
    <w:rsid w:val="008D6C06"/>
    <w:rsid w:val="008E599C"/>
    <w:rsid w:val="008E796B"/>
    <w:rsid w:val="008F0165"/>
    <w:rsid w:val="008F3A55"/>
    <w:rsid w:val="008F70C4"/>
    <w:rsid w:val="009020A1"/>
    <w:rsid w:val="00906754"/>
    <w:rsid w:val="0091157B"/>
    <w:rsid w:val="009115F6"/>
    <w:rsid w:val="00917C65"/>
    <w:rsid w:val="0092399E"/>
    <w:rsid w:val="00925678"/>
    <w:rsid w:val="009304AF"/>
    <w:rsid w:val="009310E3"/>
    <w:rsid w:val="00931E00"/>
    <w:rsid w:val="00947E4C"/>
    <w:rsid w:val="00952259"/>
    <w:rsid w:val="009558AD"/>
    <w:rsid w:val="009568DA"/>
    <w:rsid w:val="00960AA5"/>
    <w:rsid w:val="009630B9"/>
    <w:rsid w:val="00964EF2"/>
    <w:rsid w:val="00964F43"/>
    <w:rsid w:val="00966365"/>
    <w:rsid w:val="009664CA"/>
    <w:rsid w:val="00967BDD"/>
    <w:rsid w:val="009722EC"/>
    <w:rsid w:val="0097422C"/>
    <w:rsid w:val="0097481F"/>
    <w:rsid w:val="009758F2"/>
    <w:rsid w:val="009759A1"/>
    <w:rsid w:val="009818C2"/>
    <w:rsid w:val="00984F3F"/>
    <w:rsid w:val="009869D0"/>
    <w:rsid w:val="00986A00"/>
    <w:rsid w:val="00991E54"/>
    <w:rsid w:val="009A6463"/>
    <w:rsid w:val="009B0E94"/>
    <w:rsid w:val="009B1594"/>
    <w:rsid w:val="009B7A61"/>
    <w:rsid w:val="009C18B0"/>
    <w:rsid w:val="009C22E6"/>
    <w:rsid w:val="009D0969"/>
    <w:rsid w:val="009D4A3C"/>
    <w:rsid w:val="009D5B33"/>
    <w:rsid w:val="009D5C91"/>
    <w:rsid w:val="009D6416"/>
    <w:rsid w:val="009D70B5"/>
    <w:rsid w:val="009E004E"/>
    <w:rsid w:val="009E0293"/>
    <w:rsid w:val="009E3131"/>
    <w:rsid w:val="009E4673"/>
    <w:rsid w:val="009E5CAF"/>
    <w:rsid w:val="009F334B"/>
    <w:rsid w:val="009F462B"/>
    <w:rsid w:val="009F4936"/>
    <w:rsid w:val="009F67DD"/>
    <w:rsid w:val="009F6954"/>
    <w:rsid w:val="009F6E8B"/>
    <w:rsid w:val="00A002E1"/>
    <w:rsid w:val="00A0076F"/>
    <w:rsid w:val="00A041AF"/>
    <w:rsid w:val="00A04285"/>
    <w:rsid w:val="00A13D64"/>
    <w:rsid w:val="00A2389B"/>
    <w:rsid w:val="00A249E0"/>
    <w:rsid w:val="00A27FDA"/>
    <w:rsid w:val="00A35937"/>
    <w:rsid w:val="00A37D1F"/>
    <w:rsid w:val="00A430E1"/>
    <w:rsid w:val="00A43DA5"/>
    <w:rsid w:val="00A43EEF"/>
    <w:rsid w:val="00A4448C"/>
    <w:rsid w:val="00A52F9F"/>
    <w:rsid w:val="00A6153F"/>
    <w:rsid w:val="00A70B19"/>
    <w:rsid w:val="00A72D6B"/>
    <w:rsid w:val="00A83B35"/>
    <w:rsid w:val="00A846C1"/>
    <w:rsid w:val="00A90671"/>
    <w:rsid w:val="00A91572"/>
    <w:rsid w:val="00A93C6C"/>
    <w:rsid w:val="00A968D9"/>
    <w:rsid w:val="00AA1675"/>
    <w:rsid w:val="00AA339F"/>
    <w:rsid w:val="00AA7492"/>
    <w:rsid w:val="00AC1BB0"/>
    <w:rsid w:val="00AC52CB"/>
    <w:rsid w:val="00AD053A"/>
    <w:rsid w:val="00AD099D"/>
    <w:rsid w:val="00AD3136"/>
    <w:rsid w:val="00AD3B9C"/>
    <w:rsid w:val="00AE0262"/>
    <w:rsid w:val="00AE0970"/>
    <w:rsid w:val="00AE1175"/>
    <w:rsid w:val="00AE47BE"/>
    <w:rsid w:val="00AE6D3A"/>
    <w:rsid w:val="00AF1200"/>
    <w:rsid w:val="00AF1726"/>
    <w:rsid w:val="00AF4C9E"/>
    <w:rsid w:val="00B000D3"/>
    <w:rsid w:val="00B01178"/>
    <w:rsid w:val="00B01AEA"/>
    <w:rsid w:val="00B0755D"/>
    <w:rsid w:val="00B13C58"/>
    <w:rsid w:val="00B174B2"/>
    <w:rsid w:val="00B2016E"/>
    <w:rsid w:val="00B20347"/>
    <w:rsid w:val="00B234AB"/>
    <w:rsid w:val="00B2364B"/>
    <w:rsid w:val="00B23B19"/>
    <w:rsid w:val="00B24274"/>
    <w:rsid w:val="00B31765"/>
    <w:rsid w:val="00B40F44"/>
    <w:rsid w:val="00B41460"/>
    <w:rsid w:val="00B461D2"/>
    <w:rsid w:val="00B55A4D"/>
    <w:rsid w:val="00B57196"/>
    <w:rsid w:val="00B74086"/>
    <w:rsid w:val="00B759D3"/>
    <w:rsid w:val="00B810A5"/>
    <w:rsid w:val="00B82879"/>
    <w:rsid w:val="00B82A93"/>
    <w:rsid w:val="00B82CE9"/>
    <w:rsid w:val="00B83E1A"/>
    <w:rsid w:val="00B84527"/>
    <w:rsid w:val="00B84E07"/>
    <w:rsid w:val="00B87B17"/>
    <w:rsid w:val="00B904D9"/>
    <w:rsid w:val="00B9249C"/>
    <w:rsid w:val="00BA287D"/>
    <w:rsid w:val="00BA439B"/>
    <w:rsid w:val="00BA5AD6"/>
    <w:rsid w:val="00BA79E7"/>
    <w:rsid w:val="00BB1386"/>
    <w:rsid w:val="00BC1535"/>
    <w:rsid w:val="00BD12B2"/>
    <w:rsid w:val="00BE45ED"/>
    <w:rsid w:val="00BF3082"/>
    <w:rsid w:val="00BF47F7"/>
    <w:rsid w:val="00C002E9"/>
    <w:rsid w:val="00C043D4"/>
    <w:rsid w:val="00C0628F"/>
    <w:rsid w:val="00C07F9A"/>
    <w:rsid w:val="00C1246F"/>
    <w:rsid w:val="00C13F9B"/>
    <w:rsid w:val="00C15E19"/>
    <w:rsid w:val="00C25D8C"/>
    <w:rsid w:val="00C35E45"/>
    <w:rsid w:val="00C375E1"/>
    <w:rsid w:val="00C4153A"/>
    <w:rsid w:val="00C41D9D"/>
    <w:rsid w:val="00C422FE"/>
    <w:rsid w:val="00C44058"/>
    <w:rsid w:val="00C55F73"/>
    <w:rsid w:val="00C57B5F"/>
    <w:rsid w:val="00C62400"/>
    <w:rsid w:val="00C628B1"/>
    <w:rsid w:val="00C637D4"/>
    <w:rsid w:val="00C66015"/>
    <w:rsid w:val="00C672A1"/>
    <w:rsid w:val="00C702C7"/>
    <w:rsid w:val="00C712BA"/>
    <w:rsid w:val="00C77FCF"/>
    <w:rsid w:val="00C836B7"/>
    <w:rsid w:val="00C87667"/>
    <w:rsid w:val="00CA11E2"/>
    <w:rsid w:val="00CA5D0F"/>
    <w:rsid w:val="00CB1CFA"/>
    <w:rsid w:val="00CB3C1E"/>
    <w:rsid w:val="00CB66E2"/>
    <w:rsid w:val="00CC240B"/>
    <w:rsid w:val="00CC4240"/>
    <w:rsid w:val="00CC4385"/>
    <w:rsid w:val="00CD0094"/>
    <w:rsid w:val="00CD27A0"/>
    <w:rsid w:val="00CE47B7"/>
    <w:rsid w:val="00CF20B7"/>
    <w:rsid w:val="00CF2E7F"/>
    <w:rsid w:val="00CF3E4C"/>
    <w:rsid w:val="00CF47F2"/>
    <w:rsid w:val="00CF518A"/>
    <w:rsid w:val="00D0070B"/>
    <w:rsid w:val="00D06C3B"/>
    <w:rsid w:val="00D16F6B"/>
    <w:rsid w:val="00D20251"/>
    <w:rsid w:val="00D2283C"/>
    <w:rsid w:val="00D22D92"/>
    <w:rsid w:val="00D25D76"/>
    <w:rsid w:val="00D31CD5"/>
    <w:rsid w:val="00D323D2"/>
    <w:rsid w:val="00D323E1"/>
    <w:rsid w:val="00D365D8"/>
    <w:rsid w:val="00D55D97"/>
    <w:rsid w:val="00D56184"/>
    <w:rsid w:val="00D65510"/>
    <w:rsid w:val="00D6676C"/>
    <w:rsid w:val="00D8011F"/>
    <w:rsid w:val="00D84061"/>
    <w:rsid w:val="00D8446B"/>
    <w:rsid w:val="00D916E4"/>
    <w:rsid w:val="00D95A9A"/>
    <w:rsid w:val="00D9726C"/>
    <w:rsid w:val="00DA018B"/>
    <w:rsid w:val="00DA2036"/>
    <w:rsid w:val="00DA2FBE"/>
    <w:rsid w:val="00DA46F4"/>
    <w:rsid w:val="00DA7EB2"/>
    <w:rsid w:val="00DB5CD3"/>
    <w:rsid w:val="00DD1501"/>
    <w:rsid w:val="00DD160C"/>
    <w:rsid w:val="00DE7900"/>
    <w:rsid w:val="00DF51C1"/>
    <w:rsid w:val="00DF6AD0"/>
    <w:rsid w:val="00E04245"/>
    <w:rsid w:val="00E07780"/>
    <w:rsid w:val="00E170EB"/>
    <w:rsid w:val="00E31AD2"/>
    <w:rsid w:val="00E34483"/>
    <w:rsid w:val="00E3728A"/>
    <w:rsid w:val="00E44CD2"/>
    <w:rsid w:val="00E451EE"/>
    <w:rsid w:val="00E472B3"/>
    <w:rsid w:val="00E500C8"/>
    <w:rsid w:val="00E52F55"/>
    <w:rsid w:val="00E57E9B"/>
    <w:rsid w:val="00E62309"/>
    <w:rsid w:val="00E62FF7"/>
    <w:rsid w:val="00E65AE3"/>
    <w:rsid w:val="00E7059A"/>
    <w:rsid w:val="00E7655A"/>
    <w:rsid w:val="00E76D61"/>
    <w:rsid w:val="00E91A17"/>
    <w:rsid w:val="00EA1533"/>
    <w:rsid w:val="00EA343B"/>
    <w:rsid w:val="00EB1061"/>
    <w:rsid w:val="00EB1A02"/>
    <w:rsid w:val="00EB4BCF"/>
    <w:rsid w:val="00EB4FEC"/>
    <w:rsid w:val="00EB7786"/>
    <w:rsid w:val="00EC0B90"/>
    <w:rsid w:val="00EC7D69"/>
    <w:rsid w:val="00ED0974"/>
    <w:rsid w:val="00ED30E5"/>
    <w:rsid w:val="00ED4ABE"/>
    <w:rsid w:val="00ED6758"/>
    <w:rsid w:val="00ED6EF9"/>
    <w:rsid w:val="00EE5721"/>
    <w:rsid w:val="00EE5A77"/>
    <w:rsid w:val="00EF0092"/>
    <w:rsid w:val="00EF27B8"/>
    <w:rsid w:val="00EF7B88"/>
    <w:rsid w:val="00F01654"/>
    <w:rsid w:val="00F04216"/>
    <w:rsid w:val="00F055B6"/>
    <w:rsid w:val="00F06AEF"/>
    <w:rsid w:val="00F162EC"/>
    <w:rsid w:val="00F22DE7"/>
    <w:rsid w:val="00F24FC9"/>
    <w:rsid w:val="00F250C3"/>
    <w:rsid w:val="00F25EED"/>
    <w:rsid w:val="00F26BF7"/>
    <w:rsid w:val="00F31332"/>
    <w:rsid w:val="00F31CA7"/>
    <w:rsid w:val="00F31D93"/>
    <w:rsid w:val="00F31F95"/>
    <w:rsid w:val="00F3677A"/>
    <w:rsid w:val="00F4044A"/>
    <w:rsid w:val="00F419CD"/>
    <w:rsid w:val="00F41C90"/>
    <w:rsid w:val="00F44389"/>
    <w:rsid w:val="00F4694F"/>
    <w:rsid w:val="00F60087"/>
    <w:rsid w:val="00F62792"/>
    <w:rsid w:val="00F7423C"/>
    <w:rsid w:val="00F755C4"/>
    <w:rsid w:val="00F83875"/>
    <w:rsid w:val="00F86BCB"/>
    <w:rsid w:val="00F962D7"/>
    <w:rsid w:val="00F9645B"/>
    <w:rsid w:val="00F97B2C"/>
    <w:rsid w:val="00FA3B67"/>
    <w:rsid w:val="00FA540C"/>
    <w:rsid w:val="00FB62A6"/>
    <w:rsid w:val="00FC3BE4"/>
    <w:rsid w:val="00FD4FA5"/>
    <w:rsid w:val="00FD6043"/>
    <w:rsid w:val="00FE2E5F"/>
    <w:rsid w:val="00FE3F1A"/>
    <w:rsid w:val="00FE7B81"/>
    <w:rsid w:val="00FF13E9"/>
    <w:rsid w:val="00FF21B3"/>
    <w:rsid w:val="00FF4A2F"/>
    <w:rsid w:val="1B21463C"/>
    <w:rsid w:val="1BA509E5"/>
    <w:rsid w:val="1DAB71DA"/>
    <w:rsid w:val="22E56FB7"/>
    <w:rsid w:val="39E22AE7"/>
    <w:rsid w:val="48340C07"/>
    <w:rsid w:val="536B06DD"/>
    <w:rsid w:val="5A945EAD"/>
    <w:rsid w:val="62505BB1"/>
    <w:rsid w:val="62575F30"/>
    <w:rsid w:val="62CE53E0"/>
    <w:rsid w:val="63B45DF5"/>
    <w:rsid w:val="6E1C1F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20" w:semiHidden="0" w:name="Emphasis" w:locked="1"/>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9"/>
    <w:pPr>
      <w:tabs>
        <w:tab w:val="left" w:pos="720"/>
      </w:tabs>
      <w:adjustRightInd w:val="0"/>
      <w:snapToGrid w:val="0"/>
      <w:spacing w:beforeLines="100" w:afterLines="100"/>
      <w:ind w:firstLine="627" w:firstLineChars="196"/>
      <w:outlineLvl w:val="0"/>
    </w:pPr>
    <w:rPr>
      <w:rFonts w:ascii="黑体" w:hAnsi="黑体" w:eastAsia="黑体"/>
      <w:color w:val="000000"/>
      <w:sz w:val="32"/>
      <w:szCs w:val="32"/>
    </w:rPr>
  </w:style>
  <w:style w:type="paragraph" w:styleId="3">
    <w:name w:val="heading 2"/>
    <w:basedOn w:val="1"/>
    <w:next w:val="1"/>
    <w:link w:val="20"/>
    <w:qFormat/>
    <w:uiPriority w:val="99"/>
    <w:pPr>
      <w:adjustRightInd w:val="0"/>
      <w:snapToGrid w:val="0"/>
      <w:spacing w:beforeLines="50" w:afterLines="50"/>
      <w:ind w:firstLine="560" w:firstLineChars="200"/>
      <w:outlineLvl w:val="1"/>
    </w:pPr>
    <w:rPr>
      <w:rFonts w:ascii="黑体" w:hAnsi="黑体" w:eastAsia="黑体"/>
      <w:color w:val="000000"/>
      <w:sz w:val="28"/>
      <w:szCs w:val="28"/>
    </w:rPr>
  </w:style>
  <w:style w:type="paragraph" w:styleId="4">
    <w:name w:val="heading 3"/>
    <w:basedOn w:val="1"/>
    <w:next w:val="1"/>
    <w:link w:val="21"/>
    <w:qFormat/>
    <w:uiPriority w:val="99"/>
    <w:pPr>
      <w:autoSpaceDE w:val="0"/>
      <w:autoSpaceDN w:val="0"/>
      <w:adjustRightInd w:val="0"/>
      <w:spacing w:line="360" w:lineRule="auto"/>
      <w:ind w:firstLine="516" w:firstLineChars="214"/>
      <w:outlineLvl w:val="2"/>
    </w:pPr>
    <w:rPr>
      <w:rFonts w:ascii="宋体" w:hAnsi="宋体" w:cs="仿宋_GB2312"/>
      <w:b/>
      <w:bCs/>
      <w:sz w:val="24"/>
      <w:szCs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3"/>
    <w:qFormat/>
    <w:uiPriority w:val="0"/>
    <w:pPr>
      <w:jc w:val="left"/>
    </w:pPr>
    <w:rPr>
      <w:kern w:val="0"/>
      <w:sz w:val="24"/>
      <w:szCs w:val="20"/>
    </w:rPr>
  </w:style>
  <w:style w:type="paragraph" w:styleId="6">
    <w:name w:val="Plain Text"/>
    <w:basedOn w:val="1"/>
    <w:link w:val="31"/>
    <w:qFormat/>
    <w:uiPriority w:val="0"/>
    <w:rPr>
      <w:rFonts w:ascii="宋体" w:hAnsi="Courier New" w:cs="Courier New"/>
      <w:iCs/>
      <w:color w:val="000000"/>
      <w:szCs w:val="21"/>
    </w:rPr>
  </w:style>
  <w:style w:type="paragraph" w:styleId="7">
    <w:name w:val="Balloon Text"/>
    <w:basedOn w:val="1"/>
    <w:link w:val="26"/>
    <w:semiHidden/>
    <w:qFormat/>
    <w:uiPriority w:val="99"/>
    <w:rPr>
      <w:sz w:val="18"/>
      <w:szCs w:val="18"/>
    </w:rPr>
  </w:style>
  <w:style w:type="paragraph" w:styleId="8">
    <w:name w:val="footer"/>
    <w:basedOn w:val="1"/>
    <w:link w:val="28"/>
    <w:qFormat/>
    <w:uiPriority w:val="99"/>
    <w:pPr>
      <w:tabs>
        <w:tab w:val="center" w:pos="4153"/>
        <w:tab w:val="right" w:pos="8306"/>
      </w:tabs>
      <w:snapToGrid w:val="0"/>
      <w:jc w:val="left"/>
    </w:pPr>
    <w:rPr>
      <w:sz w:val="18"/>
      <w:szCs w:val="18"/>
    </w:rPr>
  </w:style>
  <w:style w:type="paragraph" w:styleId="9">
    <w:name w:val="header"/>
    <w:basedOn w:val="1"/>
    <w:link w:val="29"/>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1">
    <w:name w:val="annotation subject"/>
    <w:basedOn w:val="5"/>
    <w:next w:val="5"/>
    <w:link w:val="27"/>
    <w:semiHidden/>
    <w:qFormat/>
    <w:uiPriority w:val="99"/>
    <w:rPr>
      <w:b/>
      <w:bCs/>
      <w:szCs w:val="2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800080"/>
      <w:u w:val="single"/>
    </w:rPr>
  </w:style>
  <w:style w:type="character" w:styleId="16">
    <w:name w:val="Emphasis"/>
    <w:basedOn w:val="14"/>
    <w:qFormat/>
    <w:locked/>
    <w:uiPriority w:val="20"/>
    <w:rPr>
      <w:i/>
      <w:iCs/>
    </w:rPr>
  </w:style>
  <w:style w:type="character" w:styleId="17">
    <w:name w:val="Hyperlink"/>
    <w:basedOn w:val="14"/>
    <w:qFormat/>
    <w:uiPriority w:val="99"/>
    <w:rPr>
      <w:rFonts w:cs="Times New Roman"/>
      <w:color w:val="0000FF"/>
      <w:u w:val="single"/>
    </w:rPr>
  </w:style>
  <w:style w:type="character" w:styleId="18">
    <w:name w:val="annotation reference"/>
    <w:basedOn w:val="14"/>
    <w:qFormat/>
    <w:uiPriority w:val="0"/>
    <w:rPr>
      <w:rFonts w:cs="Times New Roman"/>
      <w:sz w:val="21"/>
    </w:rPr>
  </w:style>
  <w:style w:type="character" w:customStyle="1" w:styleId="19">
    <w:name w:val="标题 1 字符"/>
    <w:basedOn w:val="14"/>
    <w:link w:val="2"/>
    <w:qFormat/>
    <w:locked/>
    <w:uiPriority w:val="99"/>
    <w:rPr>
      <w:rFonts w:ascii="黑体" w:hAnsi="黑体" w:eastAsia="黑体" w:cs="Times New Roman"/>
      <w:color w:val="000000"/>
      <w:sz w:val="32"/>
      <w:szCs w:val="32"/>
    </w:rPr>
  </w:style>
  <w:style w:type="character" w:customStyle="1" w:styleId="20">
    <w:name w:val="标题 2 字符"/>
    <w:basedOn w:val="14"/>
    <w:link w:val="3"/>
    <w:qFormat/>
    <w:locked/>
    <w:uiPriority w:val="99"/>
    <w:rPr>
      <w:rFonts w:ascii="黑体" w:hAnsi="黑体" w:eastAsia="黑体" w:cs="Times New Roman"/>
      <w:color w:val="000000"/>
      <w:sz w:val="28"/>
      <w:szCs w:val="28"/>
    </w:rPr>
  </w:style>
  <w:style w:type="character" w:customStyle="1" w:styleId="21">
    <w:name w:val="标题 3 字符"/>
    <w:basedOn w:val="14"/>
    <w:link w:val="4"/>
    <w:qFormat/>
    <w:locked/>
    <w:uiPriority w:val="99"/>
    <w:rPr>
      <w:rFonts w:ascii="宋体" w:eastAsia="宋体" w:cs="仿宋_GB2312"/>
      <w:b/>
      <w:bCs/>
      <w:sz w:val="24"/>
      <w:szCs w:val="24"/>
    </w:rPr>
  </w:style>
  <w:style w:type="character" w:customStyle="1" w:styleId="22">
    <w:name w:val="Comment Text Char"/>
    <w:qFormat/>
    <w:locked/>
    <w:uiPriority w:val="99"/>
    <w:rPr>
      <w:rFonts w:eastAsia="宋体"/>
      <w:sz w:val="24"/>
    </w:rPr>
  </w:style>
  <w:style w:type="character" w:customStyle="1" w:styleId="23">
    <w:name w:val="批注文字 字符"/>
    <w:basedOn w:val="14"/>
    <w:link w:val="5"/>
    <w:qFormat/>
    <w:locked/>
    <w:uiPriority w:val="0"/>
    <w:rPr>
      <w:rFonts w:cs="Times New Roman"/>
    </w:rPr>
  </w:style>
  <w:style w:type="character" w:customStyle="1" w:styleId="24">
    <w:name w:val="批注文字 Char1"/>
    <w:basedOn w:val="14"/>
    <w:semiHidden/>
    <w:qFormat/>
    <w:uiPriority w:val="99"/>
    <w:rPr>
      <w:rFonts w:cs="Times New Roman"/>
    </w:rPr>
  </w:style>
  <w:style w:type="paragraph" w:customStyle="1" w:styleId="25">
    <w:name w:val="Char Char Char Char"/>
    <w:basedOn w:val="1"/>
    <w:qFormat/>
    <w:uiPriority w:val="99"/>
    <w:pPr>
      <w:widowControl/>
      <w:spacing w:after="160" w:line="240" w:lineRule="exact"/>
      <w:jc w:val="left"/>
    </w:pPr>
    <w:rPr>
      <w:rFonts w:ascii="Times New Roman" w:hAnsi="Times New Roman"/>
      <w:szCs w:val="24"/>
    </w:rPr>
  </w:style>
  <w:style w:type="character" w:customStyle="1" w:styleId="26">
    <w:name w:val="批注框文本 字符"/>
    <w:basedOn w:val="14"/>
    <w:link w:val="7"/>
    <w:semiHidden/>
    <w:qFormat/>
    <w:locked/>
    <w:uiPriority w:val="99"/>
    <w:rPr>
      <w:rFonts w:cs="Times New Roman"/>
      <w:sz w:val="18"/>
      <w:szCs w:val="18"/>
    </w:rPr>
  </w:style>
  <w:style w:type="character" w:customStyle="1" w:styleId="27">
    <w:name w:val="批注主题 字符"/>
    <w:basedOn w:val="22"/>
    <w:link w:val="11"/>
    <w:semiHidden/>
    <w:qFormat/>
    <w:locked/>
    <w:uiPriority w:val="99"/>
    <w:rPr>
      <w:rFonts w:eastAsia="宋体" w:cs="Times New Roman"/>
      <w:b/>
      <w:bCs/>
      <w:sz w:val="24"/>
      <w:szCs w:val="24"/>
    </w:rPr>
  </w:style>
  <w:style w:type="character" w:customStyle="1" w:styleId="28">
    <w:name w:val="页脚 字符"/>
    <w:basedOn w:val="14"/>
    <w:link w:val="8"/>
    <w:qFormat/>
    <w:locked/>
    <w:uiPriority w:val="99"/>
    <w:rPr>
      <w:rFonts w:cs="Times New Roman"/>
      <w:sz w:val="18"/>
      <w:szCs w:val="18"/>
    </w:rPr>
  </w:style>
  <w:style w:type="character" w:customStyle="1" w:styleId="29">
    <w:name w:val="页眉 字符"/>
    <w:basedOn w:val="14"/>
    <w:link w:val="9"/>
    <w:semiHidden/>
    <w:qFormat/>
    <w:locked/>
    <w:uiPriority w:val="99"/>
    <w:rPr>
      <w:rFonts w:cs="Times New Roman"/>
      <w:sz w:val="18"/>
      <w:szCs w:val="18"/>
    </w:rPr>
  </w:style>
  <w:style w:type="character" w:customStyle="1" w:styleId="30">
    <w:name w:val="Plain Text Char"/>
    <w:basedOn w:val="14"/>
    <w:semiHidden/>
    <w:qFormat/>
    <w:locked/>
    <w:uiPriority w:val="99"/>
    <w:rPr>
      <w:rFonts w:ascii="宋体" w:hAnsi="Courier New" w:cs="Courier New"/>
      <w:sz w:val="21"/>
      <w:szCs w:val="21"/>
    </w:rPr>
  </w:style>
  <w:style w:type="character" w:customStyle="1" w:styleId="31">
    <w:name w:val="纯文本 字符"/>
    <w:basedOn w:val="14"/>
    <w:link w:val="6"/>
    <w:qFormat/>
    <w:locked/>
    <w:uiPriority w:val="99"/>
    <w:rPr>
      <w:rFonts w:ascii="宋体" w:hAnsi="Courier New" w:eastAsia="宋体" w:cs="Courier New"/>
      <w:iCs/>
      <w:color w:val="000000"/>
      <w:kern w:val="2"/>
      <w:sz w:val="21"/>
      <w:szCs w:val="21"/>
      <w:lang w:val="en-US" w:eastAsia="zh-CN" w:bidi="ar-SA"/>
    </w:rPr>
  </w:style>
  <w:style w:type="character" w:customStyle="1" w:styleId="32">
    <w:name w:val="apple-converted-space"/>
    <w:basedOn w:val="14"/>
    <w:qFormat/>
    <w:uiPriority w:val="99"/>
    <w:rPr>
      <w:rFonts w:cs="Times New Roman"/>
    </w:rPr>
  </w:style>
  <w:style w:type="paragraph" w:customStyle="1" w:styleId="33">
    <w:name w:val="List Paragraph1"/>
    <w:basedOn w:val="1"/>
    <w:qFormat/>
    <w:uiPriority w:val="99"/>
    <w:pPr>
      <w:ind w:firstLine="420" w:firstLineChars="200"/>
    </w:pPr>
  </w:style>
  <w:style w:type="paragraph" w:customStyle="1" w:styleId="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
    <w:name w:val="xl6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xl66"/>
    <w:basedOn w:val="1"/>
    <w:qFormat/>
    <w:uiPriority w:val="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37">
    <w:name w:val="xl67"/>
    <w:basedOn w:val="1"/>
    <w:qFormat/>
    <w:uiPriority w:val="0"/>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38">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3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4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4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5">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7">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8">
    <w:name w:val="xl78"/>
    <w:basedOn w:val="1"/>
    <w:qFormat/>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49">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rPr>
  </w:style>
  <w:style w:type="paragraph" w:customStyle="1" w:styleId="50">
    <w:name w:val="xl80"/>
    <w:basedOn w:val="1"/>
    <w:qFormat/>
    <w:uiPriority w:val="0"/>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51">
    <w:name w:val="xl81"/>
    <w:basedOn w:val="1"/>
    <w:qFormat/>
    <w:uiPriority w:val="0"/>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5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4">
    <w:name w:val="xl84"/>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
    <w:name w:val="xl88"/>
    <w:basedOn w:val="1"/>
    <w:qFormat/>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59">
    <w:name w:val="xl89"/>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60">
    <w:name w:val="xl9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61">
    <w:name w:val="xl9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4">
    <w:name w:val="xl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65">
    <w:name w:val="xl9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6">
    <w:name w:val="xl9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67">
    <w:name w:val="xl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8">
    <w:name w:val="xl98"/>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9">
    <w:name w:val="xl99"/>
    <w:basedOn w:val="1"/>
    <w:qFormat/>
    <w:uiPriority w:val="0"/>
    <w:pPr>
      <w:widowControl/>
      <w:pBdr>
        <w:top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4"/>
      <w:szCs w:val="24"/>
    </w:rPr>
  </w:style>
  <w:style w:type="paragraph" w:customStyle="1" w:styleId="70">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71">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2">
    <w:name w:val="xl10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3">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4">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5">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6">
    <w:name w:val="xl106"/>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7">
    <w:name w:val="xl107"/>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8">
    <w:name w:val="xl108"/>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79">
    <w:name w:val="xl10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80">
    <w:name w:val="xl110"/>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1">
    <w:name w:val="xl111"/>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82">
    <w:name w:val="xl112"/>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3">
    <w:name w:val="xl11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4">
    <w:name w:val="xl11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5">
    <w:name w:val="xl11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6">
    <w:name w:val="xl116"/>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7">
    <w:name w:val="xl117"/>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88">
    <w:name w:val="xl118"/>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89">
    <w:name w:val="xl119"/>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0">
    <w:name w:val="xl120"/>
    <w:basedOn w:val="1"/>
    <w:qFormat/>
    <w:uiPriority w:val="0"/>
    <w:pPr>
      <w:widowControl/>
      <w:pBdr>
        <w:left w:val="single" w:color="auto" w:sz="4" w:space="0"/>
      </w:pBdr>
      <w:spacing w:before="100" w:beforeAutospacing="1" w:after="100" w:afterAutospacing="1"/>
      <w:jc w:val="center"/>
    </w:pPr>
    <w:rPr>
      <w:rFonts w:ascii="宋体" w:hAnsi="宋体" w:cs="宋体"/>
      <w:kern w:val="0"/>
      <w:sz w:val="24"/>
      <w:szCs w:val="24"/>
    </w:rPr>
  </w:style>
  <w:style w:type="paragraph" w:customStyle="1" w:styleId="91">
    <w:name w:val="xl121"/>
    <w:basedOn w:val="1"/>
    <w:qFormat/>
    <w:uiPriority w:val="0"/>
    <w:pPr>
      <w:widowControl/>
      <w:pBdr>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2">
    <w:name w:val="xl12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93">
    <w:name w:val="xl12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4">
    <w:name w:val="xl1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5">
    <w:name w:val="xl12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6">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7">
    <w:name w:val="xl127"/>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8">
    <w:name w:val="xl128"/>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9">
    <w:name w:val="xl129"/>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100">
    <w:name w:val="xl130"/>
    <w:basedOn w:val="1"/>
    <w:qFormat/>
    <w:uiPriority w:val="0"/>
    <w:pPr>
      <w:widowControl/>
      <w:pBdr>
        <w:top w:val="single" w:color="auto" w:sz="4" w:space="0"/>
      </w:pBdr>
      <w:spacing w:before="100" w:beforeAutospacing="1" w:after="100" w:afterAutospacing="1"/>
      <w:jc w:val="center"/>
    </w:pPr>
    <w:rPr>
      <w:rFonts w:ascii="宋体" w:hAnsi="宋体" w:cs="宋体"/>
      <w:kern w:val="0"/>
      <w:sz w:val="24"/>
      <w:szCs w:val="24"/>
    </w:rPr>
  </w:style>
  <w:style w:type="paragraph" w:customStyle="1" w:styleId="101">
    <w:name w:val="xl131"/>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102">
    <w:name w:val="xl132"/>
    <w:basedOn w:val="1"/>
    <w:qFormat/>
    <w:uiPriority w:val="0"/>
    <w:pPr>
      <w:widowControl/>
      <w:pBdr>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3">
    <w:name w:val="xl13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4">
    <w:name w:val="xl134"/>
    <w:basedOn w:val="1"/>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5">
    <w:name w:val="xl1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styleId="106">
    <w:name w:val="List Paragraph"/>
    <w:basedOn w:val="1"/>
    <w:qFormat/>
    <w:uiPriority w:val="34"/>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FCA1EC-2F79-4CE7-A841-4C50E8BF2074}">
  <ds:schemaRefs/>
</ds:datastoreItem>
</file>

<file path=docProps/app.xml><?xml version="1.0" encoding="utf-8"?>
<Properties xmlns="http://schemas.openxmlformats.org/officeDocument/2006/extended-properties" xmlns:vt="http://schemas.openxmlformats.org/officeDocument/2006/docPropsVTypes">
  <Template>Normal</Template>
  <Pages>4</Pages>
  <Words>1341</Words>
  <Characters>1365</Characters>
  <Lines>10</Lines>
  <Paragraphs>2</Paragraphs>
  <TotalTime>1</TotalTime>
  <ScaleCrop>false</ScaleCrop>
  <LinksUpToDate>false</LinksUpToDate>
  <CharactersWithSpaces>1385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2021-12-14T01:41:00Z</dcterms:created>
  <dc:creator>王涛</dc:creator>
  <cp:lastModifiedBy>张英华</cp:lastModifiedBy>
  <cp:lastPrinted>2019-12-17T07:39:00Z</cp:lastPrinted>
  <dcterms:modified xsi:type="dcterms:W3CDTF">2023-06-09T02:55:24Z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A217E58BD51E409995E297C687A7842A</vt:lpwstr>
  </property>
</Properties>
</file>