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12" w:beforeLines="100" w:after="312" w:afterLines="100"/>
        <w:jc w:val="center"/>
        <w:rPr>
          <w:rFonts w:ascii="微软雅黑" w:hAnsi="微软雅黑" w:eastAsia="微软雅黑"/>
          <w:b/>
          <w:sz w:val="36"/>
          <w:szCs w:val="36"/>
        </w:rPr>
      </w:pPr>
      <w:r>
        <w:rPr>
          <w:rFonts w:hint="eastAsia" w:ascii="微软雅黑" w:hAnsi="微软雅黑" w:eastAsia="微软雅黑"/>
          <w:b/>
          <w:sz w:val="36"/>
          <w:szCs w:val="36"/>
        </w:rPr>
        <w:t>轮机工程技术</w:t>
      </w:r>
      <w:r>
        <w:rPr>
          <w:rFonts w:ascii="微软雅黑" w:hAnsi="微软雅黑" w:eastAsia="微软雅黑"/>
          <w:b/>
          <w:sz w:val="36"/>
          <w:szCs w:val="36"/>
        </w:rPr>
        <w:t>专业</w:t>
      </w:r>
      <w:r>
        <w:rPr>
          <w:rFonts w:hint="eastAsia" w:ascii="微软雅黑" w:hAnsi="微软雅黑" w:eastAsia="微软雅黑"/>
          <w:b/>
          <w:sz w:val="36"/>
          <w:szCs w:val="36"/>
        </w:rPr>
        <w:t>转专业录取办法</w:t>
      </w:r>
    </w:p>
    <w:p>
      <w:pPr>
        <w:adjustRightInd w:val="0"/>
        <w:snapToGrid w:val="0"/>
        <w:spacing w:line="360" w:lineRule="auto"/>
        <w:ind w:firstLine="570"/>
        <w:rPr>
          <w:rFonts w:ascii="Times New Roman"/>
          <w:sz w:val="28"/>
          <w:szCs w:val="24"/>
        </w:rPr>
      </w:pPr>
      <w:bookmarkStart w:id="0" w:name="_Toc393236437"/>
      <w:bookmarkStart w:id="1" w:name="_Toc396497634"/>
      <w:bookmarkStart w:id="2" w:name="_Toc396501700"/>
      <w:bookmarkStart w:id="3" w:name="_Toc396497526"/>
      <w:bookmarkStart w:id="4" w:name="_Toc396497324"/>
      <w:r>
        <w:rPr>
          <w:rFonts w:hint="eastAsia" w:ascii="Times New Roman"/>
          <w:sz w:val="28"/>
          <w:szCs w:val="24"/>
        </w:rPr>
        <w:t>为适应高等职业教育改革与发展，充分体现“以生为本”的教育理念，尊重学生个人志向，发挥学生专长，激发学生学习积极性、主动性，进一步完善个性化人才培养模式，进一步规范学校学生转专业行为，科学稳妥地组织转专业相关工作，依据《江苏海事职业技术学院学生学籍管理办法》制定本办法。</w:t>
      </w:r>
    </w:p>
    <w:p>
      <w:pPr>
        <w:pStyle w:val="2"/>
        <w:spacing w:before="312" w:after="312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ascii="微软雅黑" w:hAnsi="微软雅黑" w:eastAsia="微软雅黑"/>
          <w:b/>
          <w:color w:val="auto"/>
          <w:sz w:val="28"/>
          <w:szCs w:val="28"/>
        </w:rPr>
        <w:t>一、专业基本信息</w:t>
      </w:r>
      <w:bookmarkEnd w:id="0"/>
      <w:bookmarkEnd w:id="1"/>
      <w:bookmarkEnd w:id="2"/>
      <w:bookmarkEnd w:id="3"/>
      <w:bookmarkEnd w:id="4"/>
    </w:p>
    <w:p>
      <w:pPr>
        <w:pStyle w:val="3"/>
        <w:spacing w:before="156" w:after="156"/>
        <w:ind w:firstLine="0" w:firstLineChars="0"/>
        <w:rPr>
          <w:rFonts w:ascii="微软雅黑" w:hAnsi="微软雅黑" w:eastAsia="微软雅黑"/>
          <w:b/>
          <w:color w:val="auto"/>
        </w:rPr>
      </w:pPr>
      <w:bookmarkStart w:id="5" w:name="_Toc396501701"/>
      <w:bookmarkStart w:id="6" w:name="_Toc396497325"/>
      <w:bookmarkStart w:id="7" w:name="_Toc393236438"/>
      <w:bookmarkStart w:id="8" w:name="_Toc396497527"/>
      <w:bookmarkStart w:id="9" w:name="_Toc396497635"/>
      <w:r>
        <w:rPr>
          <w:rFonts w:ascii="微软雅黑" w:hAnsi="微软雅黑" w:eastAsia="微软雅黑"/>
          <w:b/>
          <w:color w:val="auto"/>
        </w:rPr>
        <w:t>（一）专业名称</w:t>
      </w:r>
      <w:bookmarkEnd w:id="5"/>
      <w:bookmarkEnd w:id="6"/>
      <w:bookmarkEnd w:id="7"/>
      <w:bookmarkEnd w:id="8"/>
      <w:bookmarkEnd w:id="9"/>
    </w:p>
    <w:p>
      <w:pPr>
        <w:adjustRightInd w:val="0"/>
        <w:snapToGrid w:val="0"/>
        <w:spacing w:line="360" w:lineRule="auto"/>
        <w:ind w:firstLine="570"/>
        <w:rPr>
          <w:rFonts w:ascii="Times New Roman"/>
          <w:sz w:val="28"/>
          <w:szCs w:val="28"/>
        </w:rPr>
      </w:pPr>
      <w:r>
        <w:rPr>
          <w:rFonts w:hint="eastAsia" w:ascii="Times New Roman"/>
          <w:sz w:val="28"/>
          <w:szCs w:val="28"/>
        </w:rPr>
        <w:t xml:space="preserve">轮机工程技术专业   专业代码 </w:t>
      </w:r>
      <w:r>
        <w:rPr>
          <w:rFonts w:ascii="Times New Roman"/>
          <w:sz w:val="28"/>
          <w:szCs w:val="28"/>
        </w:rPr>
        <w:t xml:space="preserve"> 500303</w:t>
      </w:r>
    </w:p>
    <w:p>
      <w:pPr>
        <w:pStyle w:val="2"/>
        <w:spacing w:before="312" w:after="312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ascii="微软雅黑" w:hAnsi="微软雅黑" w:eastAsia="微软雅黑"/>
          <w:b/>
          <w:color w:val="auto"/>
          <w:sz w:val="28"/>
          <w:szCs w:val="28"/>
        </w:rPr>
        <w:t>（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二</w:t>
      </w:r>
      <w:r>
        <w:rPr>
          <w:rFonts w:ascii="微软雅黑" w:hAnsi="微软雅黑" w:eastAsia="微软雅黑"/>
          <w:b/>
          <w:color w:val="auto"/>
          <w:sz w:val="28"/>
          <w:szCs w:val="28"/>
        </w:rPr>
        <w:t>）人才培养目标</w:t>
      </w:r>
    </w:p>
    <w:p>
      <w:pPr>
        <w:adjustRightInd w:val="0"/>
        <w:snapToGrid w:val="0"/>
        <w:spacing w:line="360" w:lineRule="auto"/>
        <w:ind w:firstLine="570"/>
        <w:rPr>
          <w:rFonts w:ascii="Times New Roman"/>
          <w:sz w:val="28"/>
          <w:szCs w:val="28"/>
        </w:rPr>
      </w:pPr>
      <w:r>
        <w:rPr>
          <w:rFonts w:hint="eastAsia" w:ascii="Times New Roman"/>
          <w:sz w:val="28"/>
          <w:szCs w:val="28"/>
        </w:rPr>
        <w:t>本专业培养具有社会主义核心价值观，德、智、体、美、劳全面发展，具有家国情怀与敬业精神，健全人格与健康体魄，规则意识与创新思维，具有一定的蓝海视野，胜任国际交流，掌握轮机工程技术专业知识和技术技能，面向水上交通运输业，能够在船舶生产一线从事安全值班、设备维护与修理和船舶作业与人员管理等工作，并做到安全、绿色、高效、创新与可持续发展兼顾。学生毕业3年后，应能够成为精通船舶轮机部操作级人员岗位技能、善于船舶机舱设备管理的技术骨干，并能达到船舶专业技术人员助理工程师水平。</w:t>
      </w:r>
    </w:p>
    <w:p>
      <w:pPr>
        <w:pStyle w:val="2"/>
        <w:spacing w:before="312" w:after="312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（三）职业面向</w:t>
      </w:r>
    </w:p>
    <w:tbl>
      <w:tblPr>
        <w:tblStyle w:val="109"/>
        <w:tblW w:w="92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0"/>
        <w:gridCol w:w="1215"/>
        <w:gridCol w:w="1508"/>
        <w:gridCol w:w="2126"/>
        <w:gridCol w:w="1511"/>
        <w:gridCol w:w="18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0" w:type="dxa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专业大类（代码）</w:t>
            </w:r>
          </w:p>
        </w:tc>
        <w:tc>
          <w:tcPr>
            <w:tcW w:w="1215" w:type="dxa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专业类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（代码）</w:t>
            </w:r>
          </w:p>
        </w:tc>
        <w:tc>
          <w:tcPr>
            <w:tcW w:w="1508" w:type="dxa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主要面向的行业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（代码）</w:t>
            </w:r>
          </w:p>
        </w:tc>
        <w:tc>
          <w:tcPr>
            <w:tcW w:w="2126" w:type="dxa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主要面向的职业类别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（代码）</w:t>
            </w:r>
          </w:p>
        </w:tc>
        <w:tc>
          <w:tcPr>
            <w:tcW w:w="1511" w:type="dxa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主要就业的岗位群或技术领域</w:t>
            </w:r>
          </w:p>
        </w:tc>
        <w:tc>
          <w:tcPr>
            <w:tcW w:w="1860" w:type="dxa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职业资格或职业技能等级证书举例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990" w:type="dxa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交通运输大类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（60）</w:t>
            </w:r>
          </w:p>
        </w:tc>
        <w:tc>
          <w:tcPr>
            <w:tcW w:w="1215" w:type="dxa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水上运输类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（6003）</w:t>
            </w:r>
          </w:p>
        </w:tc>
        <w:tc>
          <w:tcPr>
            <w:tcW w:w="1508" w:type="dxa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水上运输业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（G-55）</w:t>
            </w:r>
          </w:p>
        </w:tc>
        <w:tc>
          <w:tcPr>
            <w:tcW w:w="2126" w:type="dxa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道路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和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水上运输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工程技术人员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（2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-02-15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）；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船舶指挥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与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引航人员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（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-04-02）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；</w:t>
            </w:r>
          </w:p>
          <w:p>
            <w:pPr>
              <w:adjustRightInd w:val="0"/>
              <w:snapToGrid w:val="0"/>
              <w:ind w:firstLine="36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水上运输设备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操作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人员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及有关人员（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6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-30-04）</w:t>
            </w:r>
          </w:p>
        </w:tc>
        <w:tc>
          <w:tcPr>
            <w:tcW w:w="1511" w:type="dxa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船舶轮机员；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船舶企业轮机维修技师；</w:t>
            </w:r>
          </w:p>
        </w:tc>
        <w:tc>
          <w:tcPr>
            <w:tcW w:w="1860" w:type="dxa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ind w:firstLine="36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三管轮船员适任证书</w:t>
            </w:r>
          </w:p>
        </w:tc>
      </w:tr>
    </w:tbl>
    <w:p>
      <w:pPr>
        <w:pStyle w:val="2"/>
        <w:spacing w:before="312" w:after="312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（四）专业核心课程</w:t>
      </w:r>
    </w:p>
    <w:p>
      <w:pPr>
        <w:adjustRightInd w:val="0"/>
        <w:snapToGrid w:val="0"/>
        <w:spacing w:line="360" w:lineRule="auto"/>
        <w:ind w:firstLine="570"/>
        <w:rPr>
          <w:rFonts w:ascii="Times New Roman"/>
          <w:sz w:val="28"/>
          <w:szCs w:val="28"/>
        </w:rPr>
      </w:pPr>
      <w:r>
        <w:rPr>
          <w:rFonts w:hint="eastAsia" w:ascii="Times New Roman"/>
          <w:sz w:val="28"/>
          <w:szCs w:val="28"/>
        </w:rPr>
        <w:t>本专业</w:t>
      </w:r>
      <w:r>
        <w:rPr>
          <w:rFonts w:ascii="Times New Roman"/>
          <w:sz w:val="28"/>
          <w:szCs w:val="28"/>
        </w:rPr>
        <w:t>核心课程</w:t>
      </w:r>
      <w:r>
        <w:rPr>
          <w:rFonts w:hint="eastAsia" w:ascii="Times New Roman"/>
          <w:sz w:val="28"/>
          <w:szCs w:val="28"/>
        </w:rPr>
        <w:t>有</w:t>
      </w:r>
      <w:r>
        <w:rPr>
          <w:rFonts w:ascii="Times New Roman"/>
          <w:sz w:val="28"/>
          <w:szCs w:val="28"/>
        </w:rPr>
        <w:t>：</w:t>
      </w:r>
      <w:r>
        <w:rPr>
          <w:rFonts w:hint="eastAsia" w:ascii="Times New Roman"/>
          <w:sz w:val="28"/>
          <w:szCs w:val="28"/>
        </w:rPr>
        <w:t>船舶电气设备、船舶管理、轮机英语、主推进动力装置、船舶辅机、轮机自动化和轮机英语听力与会话</w:t>
      </w:r>
      <w:r>
        <w:rPr>
          <w:rFonts w:ascii="Times New Roman"/>
          <w:sz w:val="28"/>
          <w:szCs w:val="28"/>
        </w:rPr>
        <w:t>等</w:t>
      </w:r>
      <w:r>
        <w:rPr>
          <w:rFonts w:hint="eastAsia" w:ascii="Times New Roman"/>
          <w:sz w:val="28"/>
          <w:szCs w:val="28"/>
        </w:rPr>
        <w:t>。</w:t>
      </w:r>
    </w:p>
    <w:p>
      <w:pPr>
        <w:pStyle w:val="2"/>
        <w:spacing w:before="312" w:after="312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（五）毕业资格条件</w:t>
      </w:r>
    </w:p>
    <w:p>
      <w:pPr>
        <w:widowControl/>
        <w:spacing w:line="360" w:lineRule="auto"/>
        <w:ind w:firstLine="560" w:firstLineChars="200"/>
        <w:jc w:val="left"/>
        <w:rPr>
          <w:rFonts w:ascii="黑体" w:hAnsi="黑体" w:eastAsia="黑体" w:cs="黑体"/>
          <w:bCs/>
          <w:kern w:val="0"/>
          <w:sz w:val="28"/>
          <w:szCs w:val="28"/>
        </w:rPr>
      </w:pPr>
      <w:r>
        <w:rPr>
          <w:rFonts w:hint="eastAsia" w:ascii="Times New Roman" w:hAnsi="黑体" w:eastAsia="黑体"/>
          <w:sz w:val="28"/>
          <w:szCs w:val="28"/>
        </w:rPr>
        <w:t xml:space="preserve">  </w:t>
      </w:r>
      <w:r>
        <w:rPr>
          <w:rFonts w:ascii="黑体" w:hAnsi="黑体" w:eastAsia="黑体" w:cs="黑体"/>
          <w:bCs/>
          <w:kern w:val="0"/>
          <w:sz w:val="28"/>
          <w:szCs w:val="28"/>
        </w:rPr>
        <w:t xml:space="preserve">1. </w:t>
      </w:r>
      <w:r>
        <w:rPr>
          <w:rFonts w:hint="eastAsia" w:ascii="黑体" w:hAnsi="黑体" w:eastAsia="黑体" w:cs="黑体"/>
          <w:bCs/>
          <w:kern w:val="0"/>
          <w:sz w:val="28"/>
          <w:szCs w:val="28"/>
        </w:rPr>
        <w:t>学分要求</w:t>
      </w:r>
    </w:p>
    <w:p>
      <w:pPr>
        <w:widowControl/>
        <w:spacing w:line="360" w:lineRule="auto"/>
        <w:ind w:firstLine="560" w:firstLineChars="200"/>
        <w:jc w:val="left"/>
        <w:rPr>
          <w:rFonts w:ascii="Times New Roman"/>
          <w:sz w:val="28"/>
          <w:szCs w:val="28"/>
        </w:rPr>
      </w:pPr>
      <w:bookmarkStart w:id="10" w:name="_Toc180"/>
      <w:r>
        <w:rPr>
          <w:rFonts w:hint="eastAsia" w:ascii="Times New Roman"/>
          <w:sz w:val="28"/>
          <w:szCs w:val="28"/>
        </w:rPr>
        <w:t>学生共须修167学分，其中通识必修课应修满35学分，通识选课修满11学分；专业必修课修满</w:t>
      </w:r>
      <w:r>
        <w:rPr>
          <w:rFonts w:ascii="Times New Roman"/>
          <w:sz w:val="28"/>
          <w:szCs w:val="28"/>
        </w:rPr>
        <w:t>6</w:t>
      </w:r>
      <w:r>
        <w:rPr>
          <w:rFonts w:hint="eastAsia" w:ascii="Times New Roman"/>
          <w:sz w:val="28"/>
          <w:szCs w:val="28"/>
        </w:rPr>
        <w:t>2.5学分，专业限选课至少修满</w:t>
      </w:r>
      <w:r>
        <w:rPr>
          <w:rFonts w:ascii="Times New Roman"/>
          <w:sz w:val="28"/>
          <w:szCs w:val="28"/>
        </w:rPr>
        <w:t>3</w:t>
      </w:r>
      <w:r>
        <w:rPr>
          <w:rFonts w:hint="eastAsia" w:ascii="Times New Roman"/>
          <w:sz w:val="28"/>
          <w:szCs w:val="28"/>
        </w:rPr>
        <w:t>学分；素质拓展课程修满8学分。取得船员培训Z01、Z07、Z08合格证可直接获得《基本安全》与《船舶保安》课程学分，通过国家海事局组织的海船船员考试可可直接获得对应科目学分。</w:t>
      </w:r>
    </w:p>
    <w:p>
      <w:pPr>
        <w:widowControl/>
        <w:spacing w:line="360" w:lineRule="auto"/>
        <w:ind w:firstLine="560" w:firstLineChars="200"/>
        <w:jc w:val="left"/>
        <w:rPr>
          <w:rFonts w:ascii="Times New Roman" w:hAnsi="黑体" w:eastAsia="黑体"/>
          <w:sz w:val="28"/>
          <w:szCs w:val="28"/>
        </w:rPr>
      </w:pPr>
      <w:r>
        <w:rPr>
          <w:rFonts w:hint="eastAsia" w:ascii="Times New Roman" w:hAnsi="黑体" w:eastAsia="黑体"/>
          <w:sz w:val="28"/>
          <w:szCs w:val="28"/>
        </w:rPr>
        <w:t>2</w:t>
      </w:r>
      <w:r>
        <w:rPr>
          <w:rFonts w:ascii="Times New Roman" w:hAnsi="黑体" w:eastAsia="黑体"/>
          <w:sz w:val="28"/>
          <w:szCs w:val="28"/>
        </w:rPr>
        <w:t xml:space="preserve">. </w:t>
      </w:r>
      <w:r>
        <w:rPr>
          <w:rFonts w:hint="eastAsia" w:ascii="Times New Roman" w:hAnsi="黑体" w:eastAsia="黑体"/>
          <w:sz w:val="28"/>
          <w:szCs w:val="28"/>
        </w:rPr>
        <w:t>计算机证书要求</w:t>
      </w:r>
      <w:bookmarkEnd w:id="10"/>
    </w:p>
    <w:p>
      <w:pPr>
        <w:widowControl/>
        <w:spacing w:line="300" w:lineRule="auto"/>
        <w:ind w:firstLine="560" w:firstLineChars="200"/>
        <w:jc w:val="left"/>
        <w:rPr>
          <w:rFonts w:ascii="Times New Roman"/>
          <w:sz w:val="28"/>
          <w:szCs w:val="28"/>
        </w:rPr>
      </w:pPr>
      <w:r>
        <w:rPr>
          <w:rFonts w:hint="eastAsia" w:ascii="Times New Roman"/>
          <w:sz w:val="28"/>
          <w:szCs w:val="28"/>
        </w:rPr>
        <w:t>本专业不对计算机证书做毕业资格要求，为鼓励学生考取计算机证书，学生若考取全国计算机ATA证书或江苏省计算机等级考试一级证书可申请信息技术类课程免修，直接置换对应学分。</w:t>
      </w:r>
    </w:p>
    <w:p>
      <w:pPr>
        <w:widowControl/>
        <w:spacing w:line="360" w:lineRule="auto"/>
        <w:ind w:firstLine="560" w:firstLineChars="200"/>
        <w:jc w:val="left"/>
        <w:rPr>
          <w:rFonts w:hAnsi="黑体" w:eastAsia="黑体"/>
          <w:sz w:val="28"/>
          <w:szCs w:val="28"/>
        </w:rPr>
      </w:pPr>
      <w:r>
        <w:rPr>
          <w:rFonts w:hint="eastAsia" w:ascii="Times New Roman" w:hAnsi="黑体" w:eastAsia="黑体"/>
          <w:sz w:val="28"/>
          <w:szCs w:val="28"/>
        </w:rPr>
        <w:t>3</w:t>
      </w:r>
      <w:r>
        <w:rPr>
          <w:rFonts w:ascii="Times New Roman" w:hAnsi="黑体" w:eastAsia="黑体"/>
          <w:sz w:val="28"/>
          <w:szCs w:val="28"/>
        </w:rPr>
        <w:t xml:space="preserve">. </w:t>
      </w:r>
      <w:r>
        <w:rPr>
          <w:rFonts w:hint="eastAsia" w:ascii="Times New Roman" w:hAnsi="黑体" w:eastAsia="黑体"/>
          <w:sz w:val="28"/>
          <w:szCs w:val="28"/>
        </w:rPr>
        <w:t xml:space="preserve">外语等级考试要求   </w:t>
      </w:r>
    </w:p>
    <w:p>
      <w:pPr>
        <w:widowControl/>
        <w:spacing w:line="300" w:lineRule="auto"/>
        <w:ind w:firstLine="560" w:firstLineChars="200"/>
        <w:jc w:val="left"/>
        <w:rPr>
          <w:rFonts w:ascii="Times New Roman"/>
          <w:sz w:val="28"/>
          <w:szCs w:val="28"/>
        </w:rPr>
      </w:pPr>
      <w:r>
        <w:rPr>
          <w:rFonts w:hint="eastAsia" w:ascii="Times New Roman"/>
          <w:sz w:val="28"/>
          <w:szCs w:val="28"/>
        </w:rPr>
        <w:t>本专业不对英语等级证书做要求，为鼓励学生考取英语等级证书，对考取英语等级证书的学生，可以用证书置换高职英语课程和轮机英语课程学分，成绩认定为85分（A级或口语）、90分（四级）或95分（六级），也可申请课程免修。</w:t>
      </w:r>
    </w:p>
    <w:p>
      <w:pPr>
        <w:widowControl/>
        <w:spacing w:line="360" w:lineRule="auto"/>
        <w:ind w:firstLine="560" w:firstLineChars="200"/>
        <w:jc w:val="left"/>
        <w:rPr>
          <w:rFonts w:ascii="Times New Roman" w:hAnsi="黑体" w:eastAsia="黑体"/>
          <w:sz w:val="28"/>
          <w:szCs w:val="28"/>
        </w:rPr>
      </w:pPr>
      <w:bookmarkStart w:id="11" w:name="_Toc30529"/>
      <w:r>
        <w:rPr>
          <w:rFonts w:hint="eastAsia" w:ascii="Times New Roman" w:hAnsi="黑体" w:eastAsia="黑体"/>
          <w:sz w:val="28"/>
          <w:szCs w:val="28"/>
        </w:rPr>
        <w:t>4</w:t>
      </w:r>
      <w:r>
        <w:rPr>
          <w:rFonts w:ascii="Times New Roman" w:hAnsi="黑体" w:eastAsia="黑体"/>
          <w:sz w:val="28"/>
          <w:szCs w:val="28"/>
        </w:rPr>
        <w:t xml:space="preserve">. </w:t>
      </w:r>
      <w:r>
        <w:rPr>
          <w:rFonts w:hint="eastAsia" w:ascii="Times New Roman" w:hAnsi="黑体" w:eastAsia="黑体"/>
          <w:sz w:val="28"/>
          <w:szCs w:val="28"/>
        </w:rPr>
        <w:t>职业技能或职业资格证书要求</w:t>
      </w:r>
      <w:bookmarkEnd w:id="11"/>
    </w:p>
    <w:p>
      <w:pPr>
        <w:widowControl/>
        <w:spacing w:line="300" w:lineRule="auto"/>
        <w:ind w:firstLine="560" w:firstLineChars="200"/>
        <w:jc w:val="left"/>
        <w:rPr>
          <w:rFonts w:ascii="Times New Roman"/>
          <w:sz w:val="28"/>
          <w:szCs w:val="28"/>
        </w:rPr>
      </w:pPr>
      <w:r>
        <w:rPr>
          <w:rFonts w:hint="eastAsia" w:ascii="Times New Roman"/>
          <w:sz w:val="28"/>
          <w:szCs w:val="28"/>
        </w:rPr>
        <w:t>本专业学生必须取得海船船员基本安全培训合格证书、保安意识培训合格证书和负有指定保安职责船员培训合格证书。</w:t>
      </w:r>
    </w:p>
    <w:p>
      <w:pPr>
        <w:widowControl/>
        <w:spacing w:line="360" w:lineRule="auto"/>
        <w:ind w:firstLine="560" w:firstLineChars="200"/>
        <w:jc w:val="left"/>
        <w:rPr>
          <w:rFonts w:ascii="Times New Roman" w:hAnsi="黑体" w:eastAsia="黑体"/>
          <w:sz w:val="28"/>
          <w:szCs w:val="28"/>
        </w:rPr>
      </w:pPr>
      <w:bookmarkStart w:id="12" w:name="_Toc9435"/>
      <w:r>
        <w:rPr>
          <w:rFonts w:ascii="Times New Roman" w:hAnsi="黑体" w:eastAsia="黑体"/>
          <w:sz w:val="28"/>
          <w:szCs w:val="28"/>
        </w:rPr>
        <w:t xml:space="preserve">5. </w:t>
      </w:r>
      <w:r>
        <w:rPr>
          <w:rFonts w:hint="eastAsia" w:ascii="Times New Roman" w:hAnsi="黑体" w:eastAsia="黑体"/>
          <w:sz w:val="28"/>
          <w:szCs w:val="28"/>
        </w:rPr>
        <w:t>学生思想品德考核要求</w:t>
      </w:r>
      <w:bookmarkEnd w:id="12"/>
    </w:p>
    <w:p>
      <w:pPr>
        <w:widowControl/>
        <w:spacing w:line="300" w:lineRule="auto"/>
        <w:ind w:firstLine="560" w:firstLineChars="200"/>
        <w:jc w:val="left"/>
        <w:rPr>
          <w:rFonts w:ascii="Times New Roman"/>
          <w:sz w:val="28"/>
          <w:szCs w:val="28"/>
        </w:rPr>
      </w:pPr>
      <w:r>
        <w:rPr>
          <w:rFonts w:hint="eastAsia" w:ascii="Times New Roman"/>
          <w:sz w:val="28"/>
          <w:szCs w:val="28"/>
        </w:rPr>
        <w:t>学生毕业前思想品德考核必须为合格以上，由学生工作处负责考核、鉴定。</w:t>
      </w:r>
    </w:p>
    <w:p>
      <w:pPr>
        <w:widowControl/>
        <w:spacing w:line="360" w:lineRule="auto"/>
        <w:ind w:firstLine="560" w:firstLineChars="200"/>
        <w:jc w:val="left"/>
        <w:rPr>
          <w:rFonts w:ascii="Times New Roman" w:hAnsi="黑体" w:eastAsia="黑体"/>
          <w:sz w:val="28"/>
          <w:szCs w:val="28"/>
        </w:rPr>
      </w:pPr>
      <w:bookmarkStart w:id="13" w:name="_Toc18842"/>
      <w:r>
        <w:rPr>
          <w:rFonts w:hint="eastAsia" w:ascii="Times New Roman" w:hAnsi="黑体" w:eastAsia="黑体"/>
          <w:sz w:val="28"/>
          <w:szCs w:val="28"/>
        </w:rPr>
        <w:t>6</w:t>
      </w:r>
      <w:r>
        <w:rPr>
          <w:rFonts w:ascii="Times New Roman" w:hAnsi="黑体" w:eastAsia="黑体"/>
          <w:sz w:val="28"/>
          <w:szCs w:val="28"/>
        </w:rPr>
        <w:t xml:space="preserve">. </w:t>
      </w:r>
      <w:r>
        <w:rPr>
          <w:rFonts w:hint="eastAsia" w:ascii="Times New Roman" w:hAnsi="黑体" w:eastAsia="黑体"/>
          <w:sz w:val="28"/>
          <w:szCs w:val="28"/>
        </w:rPr>
        <w:t>体制健康测试要求</w:t>
      </w:r>
      <w:bookmarkEnd w:id="13"/>
    </w:p>
    <w:p>
      <w:pPr>
        <w:widowControl/>
        <w:spacing w:line="300" w:lineRule="auto"/>
        <w:ind w:firstLine="560" w:firstLineChars="200"/>
        <w:jc w:val="left"/>
        <w:rPr>
          <w:rFonts w:ascii="Times New Roman"/>
          <w:sz w:val="28"/>
          <w:szCs w:val="28"/>
        </w:rPr>
      </w:pPr>
      <w:r>
        <w:rPr>
          <w:rFonts w:hint="eastAsia" w:ascii="Times New Roman"/>
          <w:sz w:val="28"/>
          <w:szCs w:val="28"/>
        </w:rPr>
        <w:t>学生体制健康测试严格执行“国家学生体质健康标准”，毕业前体制健康测试成绩必须达50分以上。对省级以上体育竞赛比赛获三等奖以上学生，可以免除以上要求。学生因病或残疾可向学校提交免测申请，经医疗单位证明，体育教学部门核准，可以免除以上要求，但须填写《免予执行&lt;国家学生体质健康标准&gt;申请表》存入学生档案。</w:t>
      </w:r>
    </w:p>
    <w:p>
      <w:pPr>
        <w:pStyle w:val="2"/>
        <w:spacing w:before="312" w:after="312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bookmarkStart w:id="14" w:name="_Toc396501702"/>
      <w:bookmarkStart w:id="15" w:name="_Toc396497528"/>
      <w:bookmarkStart w:id="16" w:name="_Toc396497636"/>
      <w:bookmarkStart w:id="17" w:name="_Toc396497326"/>
      <w:bookmarkStart w:id="18" w:name="_Toc393236439"/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二</w:t>
      </w:r>
      <w:r>
        <w:rPr>
          <w:rFonts w:ascii="微软雅黑" w:hAnsi="微软雅黑" w:eastAsia="微软雅黑"/>
          <w:b/>
          <w:color w:val="auto"/>
          <w:sz w:val="28"/>
          <w:szCs w:val="28"/>
        </w:rPr>
        <w:t>、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转专业录取办法</w:t>
      </w:r>
    </w:p>
    <w:p>
      <w:pPr>
        <w:adjustRightInd w:val="0"/>
        <w:snapToGrid w:val="0"/>
        <w:spacing w:line="360" w:lineRule="auto"/>
        <w:ind w:firstLine="570"/>
        <w:rPr>
          <w:rFonts w:ascii="微软雅黑" w:hAnsi="微软雅黑" w:eastAsia="微软雅黑"/>
          <w:b/>
          <w:sz w:val="28"/>
          <w:szCs w:val="28"/>
        </w:rPr>
      </w:pPr>
      <w:r>
        <w:rPr>
          <w:rFonts w:ascii="微软雅黑" w:hAnsi="微软雅黑" w:eastAsia="微软雅黑"/>
          <w:b/>
          <w:sz w:val="28"/>
          <w:szCs w:val="28"/>
        </w:rPr>
        <w:t>（</w:t>
      </w:r>
      <w:r>
        <w:rPr>
          <w:rFonts w:hint="eastAsia" w:ascii="微软雅黑" w:hAnsi="微软雅黑" w:eastAsia="微软雅黑"/>
          <w:b/>
          <w:sz w:val="28"/>
          <w:szCs w:val="28"/>
        </w:rPr>
        <w:t>一</w:t>
      </w:r>
      <w:r>
        <w:rPr>
          <w:rFonts w:ascii="微软雅黑" w:hAnsi="微软雅黑" w:eastAsia="微软雅黑"/>
          <w:b/>
          <w:sz w:val="28"/>
          <w:szCs w:val="28"/>
        </w:rPr>
        <w:t>）</w:t>
      </w:r>
      <w:r>
        <w:rPr>
          <w:rFonts w:hint="eastAsia" w:ascii="微软雅黑" w:hAnsi="微软雅黑" w:eastAsia="微软雅黑"/>
          <w:b/>
          <w:sz w:val="28"/>
          <w:szCs w:val="28"/>
        </w:rPr>
        <w:t>接受对象</w:t>
      </w:r>
    </w:p>
    <w:p>
      <w:pPr>
        <w:adjustRightInd w:val="0"/>
        <w:snapToGrid w:val="0"/>
        <w:spacing w:line="360" w:lineRule="auto"/>
        <w:ind w:firstLine="570"/>
        <w:rPr>
          <w:rFonts w:ascii="Times New Roman" w:hAnsi="Times New Roman"/>
          <w:sz w:val="28"/>
          <w:szCs w:val="28"/>
        </w:rPr>
      </w:pPr>
      <w:r>
        <w:rPr>
          <w:rFonts w:hint="eastAsia" w:ascii="Times New Roman"/>
          <w:sz w:val="28"/>
          <w:szCs w:val="28"/>
        </w:rPr>
        <w:t>符合《江苏海事职业技术学院学生学籍管理办法》规定，并志愿投身于祖国航海事业，从事一线船舶机舱管理工作的学生。</w:t>
      </w:r>
    </w:p>
    <w:p>
      <w:pPr>
        <w:adjustRightInd w:val="0"/>
        <w:snapToGrid w:val="0"/>
        <w:spacing w:line="360" w:lineRule="auto"/>
        <w:ind w:firstLine="570"/>
        <w:rPr>
          <w:rFonts w:ascii="微软雅黑" w:hAnsi="微软雅黑" w:eastAsia="微软雅黑"/>
          <w:b/>
          <w:sz w:val="28"/>
          <w:szCs w:val="28"/>
        </w:rPr>
      </w:pPr>
      <w:r>
        <w:rPr>
          <w:rFonts w:ascii="微软雅黑" w:hAnsi="微软雅黑" w:eastAsia="微软雅黑"/>
          <w:b/>
          <w:sz w:val="28"/>
          <w:szCs w:val="28"/>
        </w:rPr>
        <w:t>（</w:t>
      </w:r>
      <w:r>
        <w:rPr>
          <w:rFonts w:hint="eastAsia" w:ascii="微软雅黑" w:hAnsi="微软雅黑" w:eastAsia="微软雅黑"/>
          <w:b/>
          <w:sz w:val="28"/>
          <w:szCs w:val="28"/>
        </w:rPr>
        <w:t>二</w:t>
      </w:r>
      <w:r>
        <w:rPr>
          <w:rFonts w:ascii="微软雅黑" w:hAnsi="微软雅黑" w:eastAsia="微软雅黑"/>
          <w:b/>
          <w:sz w:val="28"/>
          <w:szCs w:val="28"/>
        </w:rPr>
        <w:t>）</w:t>
      </w:r>
      <w:r>
        <w:rPr>
          <w:rFonts w:hint="eastAsia" w:ascii="微软雅黑" w:hAnsi="微软雅黑" w:eastAsia="微软雅黑"/>
          <w:b/>
          <w:sz w:val="28"/>
          <w:szCs w:val="28"/>
        </w:rPr>
        <w:t>遴选方案</w:t>
      </w:r>
    </w:p>
    <w:bookmarkEnd w:id="14"/>
    <w:bookmarkEnd w:id="15"/>
    <w:bookmarkEnd w:id="16"/>
    <w:bookmarkEnd w:id="17"/>
    <w:bookmarkEnd w:id="18"/>
    <w:p>
      <w:pPr>
        <w:adjustRightInd w:val="0"/>
        <w:snapToGrid w:val="0"/>
        <w:spacing w:line="360" w:lineRule="auto"/>
        <w:ind w:firstLine="570"/>
        <w:rPr>
          <w:rFonts w:hint="eastAsia"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1．当申请学生数低于可接受转专业计划数时，免试录取。</w:t>
      </w:r>
    </w:p>
    <w:p>
      <w:pPr>
        <w:adjustRightInd w:val="0"/>
        <w:snapToGrid w:val="0"/>
        <w:spacing w:line="360" w:lineRule="auto"/>
        <w:ind w:firstLine="570"/>
        <w:rPr>
          <w:rFonts w:hint="eastAsia"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2．当申请学生数大于可接受转专业计划数</w:t>
      </w:r>
      <w:bookmarkStart w:id="19" w:name="_GoBack"/>
      <w:bookmarkEnd w:id="19"/>
      <w:r>
        <w:rPr>
          <w:rFonts w:hint="eastAsia" w:ascii="Times New Roman" w:hAnsi="Times New Roman"/>
          <w:sz w:val="28"/>
          <w:szCs w:val="28"/>
        </w:rPr>
        <w:t>时，组织面试，面试具体程序和时间由轮机电气与智能工程学院安排，不参加面试的学生视为放弃本次转专业机会。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swiss"/>
    <w:pitch w:val="default"/>
    <w:sig w:usb0="00000000" w:usb1="00000000" w:usb2="0000000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M3ZTA0OTM0OWU0NjU1M2ZkNmUzNjA2OWU1ZTEyZmUifQ=="/>
  </w:docVars>
  <w:rsids>
    <w:rsidRoot w:val="00816F75"/>
    <w:rsid w:val="000033FC"/>
    <w:rsid w:val="000038C7"/>
    <w:rsid w:val="00006AF7"/>
    <w:rsid w:val="00007931"/>
    <w:rsid w:val="00014122"/>
    <w:rsid w:val="00015D97"/>
    <w:rsid w:val="00015F76"/>
    <w:rsid w:val="000219DE"/>
    <w:rsid w:val="000330A8"/>
    <w:rsid w:val="00041A03"/>
    <w:rsid w:val="00043A1D"/>
    <w:rsid w:val="00054579"/>
    <w:rsid w:val="00054585"/>
    <w:rsid w:val="000550CB"/>
    <w:rsid w:val="00061F31"/>
    <w:rsid w:val="00067B56"/>
    <w:rsid w:val="00073F39"/>
    <w:rsid w:val="00075402"/>
    <w:rsid w:val="00075551"/>
    <w:rsid w:val="0008367B"/>
    <w:rsid w:val="00083C59"/>
    <w:rsid w:val="00083DED"/>
    <w:rsid w:val="00085B6D"/>
    <w:rsid w:val="00085C43"/>
    <w:rsid w:val="0008669F"/>
    <w:rsid w:val="000877C9"/>
    <w:rsid w:val="000918CB"/>
    <w:rsid w:val="000956F1"/>
    <w:rsid w:val="000A00CF"/>
    <w:rsid w:val="000A0EB6"/>
    <w:rsid w:val="000A62DC"/>
    <w:rsid w:val="000A6911"/>
    <w:rsid w:val="000B5D50"/>
    <w:rsid w:val="000D434A"/>
    <w:rsid w:val="000D6896"/>
    <w:rsid w:val="000E7029"/>
    <w:rsid w:val="000F21AB"/>
    <w:rsid w:val="000F4F92"/>
    <w:rsid w:val="000F75CD"/>
    <w:rsid w:val="001104CB"/>
    <w:rsid w:val="00112D75"/>
    <w:rsid w:val="00114BF6"/>
    <w:rsid w:val="00120749"/>
    <w:rsid w:val="0012179F"/>
    <w:rsid w:val="001219A1"/>
    <w:rsid w:val="001418BC"/>
    <w:rsid w:val="00160373"/>
    <w:rsid w:val="00160624"/>
    <w:rsid w:val="00163CAB"/>
    <w:rsid w:val="00164FE4"/>
    <w:rsid w:val="00175F7A"/>
    <w:rsid w:val="00176F3A"/>
    <w:rsid w:val="00182CB1"/>
    <w:rsid w:val="00183670"/>
    <w:rsid w:val="00184B7E"/>
    <w:rsid w:val="001856F9"/>
    <w:rsid w:val="00190B98"/>
    <w:rsid w:val="00191FF6"/>
    <w:rsid w:val="0019454A"/>
    <w:rsid w:val="001A3421"/>
    <w:rsid w:val="001A7A20"/>
    <w:rsid w:val="001B1D3B"/>
    <w:rsid w:val="001B644F"/>
    <w:rsid w:val="001B6CDB"/>
    <w:rsid w:val="001C0A25"/>
    <w:rsid w:val="001C2B09"/>
    <w:rsid w:val="001D0185"/>
    <w:rsid w:val="001D1B72"/>
    <w:rsid w:val="001D277B"/>
    <w:rsid w:val="001E1361"/>
    <w:rsid w:val="001E138C"/>
    <w:rsid w:val="001F0F0E"/>
    <w:rsid w:val="001F75D5"/>
    <w:rsid w:val="0020389C"/>
    <w:rsid w:val="00203CC0"/>
    <w:rsid w:val="00203D4D"/>
    <w:rsid w:val="00204A76"/>
    <w:rsid w:val="00205290"/>
    <w:rsid w:val="0021084B"/>
    <w:rsid w:val="00220184"/>
    <w:rsid w:val="00220752"/>
    <w:rsid w:val="002267CC"/>
    <w:rsid w:val="002336A9"/>
    <w:rsid w:val="002426E9"/>
    <w:rsid w:val="00244444"/>
    <w:rsid w:val="00250B53"/>
    <w:rsid w:val="002737B8"/>
    <w:rsid w:val="0028070B"/>
    <w:rsid w:val="002872B1"/>
    <w:rsid w:val="00293172"/>
    <w:rsid w:val="00296891"/>
    <w:rsid w:val="002B3EA2"/>
    <w:rsid w:val="002B5927"/>
    <w:rsid w:val="002B7D5D"/>
    <w:rsid w:val="002C35DB"/>
    <w:rsid w:val="002C79DD"/>
    <w:rsid w:val="002D3A7E"/>
    <w:rsid w:val="002E0211"/>
    <w:rsid w:val="002E1F8C"/>
    <w:rsid w:val="002E6EEF"/>
    <w:rsid w:val="002E71BF"/>
    <w:rsid w:val="002F0301"/>
    <w:rsid w:val="002F5BD7"/>
    <w:rsid w:val="00300158"/>
    <w:rsid w:val="00302481"/>
    <w:rsid w:val="0030288B"/>
    <w:rsid w:val="003055C1"/>
    <w:rsid w:val="0030654B"/>
    <w:rsid w:val="003107AF"/>
    <w:rsid w:val="0031229B"/>
    <w:rsid w:val="00315B23"/>
    <w:rsid w:val="003237F6"/>
    <w:rsid w:val="003240F1"/>
    <w:rsid w:val="003267E6"/>
    <w:rsid w:val="003270CF"/>
    <w:rsid w:val="0033197B"/>
    <w:rsid w:val="003330F8"/>
    <w:rsid w:val="00335059"/>
    <w:rsid w:val="00335D33"/>
    <w:rsid w:val="00342689"/>
    <w:rsid w:val="003478C3"/>
    <w:rsid w:val="0035181D"/>
    <w:rsid w:val="003533D2"/>
    <w:rsid w:val="0036556D"/>
    <w:rsid w:val="00373FB1"/>
    <w:rsid w:val="003747B6"/>
    <w:rsid w:val="003949E2"/>
    <w:rsid w:val="003A27D2"/>
    <w:rsid w:val="003A5510"/>
    <w:rsid w:val="003A56A5"/>
    <w:rsid w:val="003B0B8B"/>
    <w:rsid w:val="003B12EC"/>
    <w:rsid w:val="003B2ACD"/>
    <w:rsid w:val="003B43E0"/>
    <w:rsid w:val="003B62F8"/>
    <w:rsid w:val="003B6D63"/>
    <w:rsid w:val="003D0082"/>
    <w:rsid w:val="003D0B78"/>
    <w:rsid w:val="003D4C18"/>
    <w:rsid w:val="003E363C"/>
    <w:rsid w:val="003E52D1"/>
    <w:rsid w:val="003F1ABC"/>
    <w:rsid w:val="003F3835"/>
    <w:rsid w:val="003F6CC9"/>
    <w:rsid w:val="004019EC"/>
    <w:rsid w:val="00403D68"/>
    <w:rsid w:val="004075F5"/>
    <w:rsid w:val="004115D7"/>
    <w:rsid w:val="00431108"/>
    <w:rsid w:val="0043111D"/>
    <w:rsid w:val="004357CF"/>
    <w:rsid w:val="00435EB3"/>
    <w:rsid w:val="0043676D"/>
    <w:rsid w:val="00440C76"/>
    <w:rsid w:val="004426D5"/>
    <w:rsid w:val="00446462"/>
    <w:rsid w:val="00450A3E"/>
    <w:rsid w:val="004521FC"/>
    <w:rsid w:val="00453E8B"/>
    <w:rsid w:val="004557EF"/>
    <w:rsid w:val="00460E23"/>
    <w:rsid w:val="00460F51"/>
    <w:rsid w:val="00471491"/>
    <w:rsid w:val="00475E2C"/>
    <w:rsid w:val="0048124A"/>
    <w:rsid w:val="00483F55"/>
    <w:rsid w:val="0048635A"/>
    <w:rsid w:val="004905D8"/>
    <w:rsid w:val="0049325A"/>
    <w:rsid w:val="00494FAB"/>
    <w:rsid w:val="004A6F37"/>
    <w:rsid w:val="004B5E17"/>
    <w:rsid w:val="004B6DF3"/>
    <w:rsid w:val="004C26DF"/>
    <w:rsid w:val="004C6D7C"/>
    <w:rsid w:val="004D0783"/>
    <w:rsid w:val="004D0A00"/>
    <w:rsid w:val="004D2E36"/>
    <w:rsid w:val="004D67EF"/>
    <w:rsid w:val="004D7D7F"/>
    <w:rsid w:val="004E0E0C"/>
    <w:rsid w:val="004E2779"/>
    <w:rsid w:val="004E3440"/>
    <w:rsid w:val="004E65F4"/>
    <w:rsid w:val="004F41EA"/>
    <w:rsid w:val="004F7FDB"/>
    <w:rsid w:val="00507A9D"/>
    <w:rsid w:val="00510C17"/>
    <w:rsid w:val="00510CC5"/>
    <w:rsid w:val="00512314"/>
    <w:rsid w:val="0051262F"/>
    <w:rsid w:val="00514DDF"/>
    <w:rsid w:val="00521A0E"/>
    <w:rsid w:val="00522DA6"/>
    <w:rsid w:val="00522E5E"/>
    <w:rsid w:val="00524E21"/>
    <w:rsid w:val="00527C8C"/>
    <w:rsid w:val="0053180B"/>
    <w:rsid w:val="005361CF"/>
    <w:rsid w:val="00536CB8"/>
    <w:rsid w:val="0054095C"/>
    <w:rsid w:val="00544838"/>
    <w:rsid w:val="00550C89"/>
    <w:rsid w:val="00551224"/>
    <w:rsid w:val="00554769"/>
    <w:rsid w:val="00554AC4"/>
    <w:rsid w:val="00555BB6"/>
    <w:rsid w:val="0055619A"/>
    <w:rsid w:val="005565BC"/>
    <w:rsid w:val="00557B16"/>
    <w:rsid w:val="00560DE5"/>
    <w:rsid w:val="00570B77"/>
    <w:rsid w:val="0057421A"/>
    <w:rsid w:val="00576C24"/>
    <w:rsid w:val="005813A4"/>
    <w:rsid w:val="00585D06"/>
    <w:rsid w:val="00585DE4"/>
    <w:rsid w:val="00590375"/>
    <w:rsid w:val="00590857"/>
    <w:rsid w:val="005938CF"/>
    <w:rsid w:val="00594135"/>
    <w:rsid w:val="005A2FBD"/>
    <w:rsid w:val="005A44D4"/>
    <w:rsid w:val="005A588A"/>
    <w:rsid w:val="005B1FA4"/>
    <w:rsid w:val="005B217A"/>
    <w:rsid w:val="005B43F4"/>
    <w:rsid w:val="005B5183"/>
    <w:rsid w:val="005C0065"/>
    <w:rsid w:val="005C0903"/>
    <w:rsid w:val="005C094F"/>
    <w:rsid w:val="005C31B3"/>
    <w:rsid w:val="005C3A02"/>
    <w:rsid w:val="005C5AB5"/>
    <w:rsid w:val="005C7800"/>
    <w:rsid w:val="005D554B"/>
    <w:rsid w:val="005F5F38"/>
    <w:rsid w:val="00611EF5"/>
    <w:rsid w:val="0061432D"/>
    <w:rsid w:val="006150FA"/>
    <w:rsid w:val="00616201"/>
    <w:rsid w:val="00631247"/>
    <w:rsid w:val="006312C7"/>
    <w:rsid w:val="006363F2"/>
    <w:rsid w:val="0064192A"/>
    <w:rsid w:val="00642E99"/>
    <w:rsid w:val="006437B3"/>
    <w:rsid w:val="00645BB4"/>
    <w:rsid w:val="006465FF"/>
    <w:rsid w:val="0065426D"/>
    <w:rsid w:val="00660AC7"/>
    <w:rsid w:val="00661B0B"/>
    <w:rsid w:val="00663185"/>
    <w:rsid w:val="00664D0E"/>
    <w:rsid w:val="006671D7"/>
    <w:rsid w:val="00667D40"/>
    <w:rsid w:val="00672710"/>
    <w:rsid w:val="00672E2F"/>
    <w:rsid w:val="006764E6"/>
    <w:rsid w:val="006A3954"/>
    <w:rsid w:val="006A57E8"/>
    <w:rsid w:val="006B7C68"/>
    <w:rsid w:val="006D5321"/>
    <w:rsid w:val="006D567F"/>
    <w:rsid w:val="006D626A"/>
    <w:rsid w:val="006E0792"/>
    <w:rsid w:val="006E185E"/>
    <w:rsid w:val="006F060A"/>
    <w:rsid w:val="006F3AC9"/>
    <w:rsid w:val="006F56F1"/>
    <w:rsid w:val="006F5F7A"/>
    <w:rsid w:val="006F6A60"/>
    <w:rsid w:val="006F71AD"/>
    <w:rsid w:val="00700B39"/>
    <w:rsid w:val="007017ED"/>
    <w:rsid w:val="00710A4D"/>
    <w:rsid w:val="00710DE0"/>
    <w:rsid w:val="007122FB"/>
    <w:rsid w:val="00713554"/>
    <w:rsid w:val="00714161"/>
    <w:rsid w:val="00731D73"/>
    <w:rsid w:val="007369FC"/>
    <w:rsid w:val="00737028"/>
    <w:rsid w:val="007403EE"/>
    <w:rsid w:val="007407C0"/>
    <w:rsid w:val="00740B56"/>
    <w:rsid w:val="0075354F"/>
    <w:rsid w:val="00754334"/>
    <w:rsid w:val="00760FB5"/>
    <w:rsid w:val="007678FF"/>
    <w:rsid w:val="00771AF8"/>
    <w:rsid w:val="00775E5C"/>
    <w:rsid w:val="00785768"/>
    <w:rsid w:val="0078791E"/>
    <w:rsid w:val="007916E7"/>
    <w:rsid w:val="007925E8"/>
    <w:rsid w:val="00795B51"/>
    <w:rsid w:val="007A6510"/>
    <w:rsid w:val="007B51CD"/>
    <w:rsid w:val="007B5341"/>
    <w:rsid w:val="007C17A0"/>
    <w:rsid w:val="007C1C2C"/>
    <w:rsid w:val="007C24E0"/>
    <w:rsid w:val="007C76DE"/>
    <w:rsid w:val="007D25A3"/>
    <w:rsid w:val="007D3826"/>
    <w:rsid w:val="007E3A18"/>
    <w:rsid w:val="007E59E2"/>
    <w:rsid w:val="007E6A5C"/>
    <w:rsid w:val="007F16EA"/>
    <w:rsid w:val="007F3C6F"/>
    <w:rsid w:val="007F6622"/>
    <w:rsid w:val="0080407A"/>
    <w:rsid w:val="00805465"/>
    <w:rsid w:val="008064C0"/>
    <w:rsid w:val="008070CD"/>
    <w:rsid w:val="008148B6"/>
    <w:rsid w:val="008156D8"/>
    <w:rsid w:val="00816F75"/>
    <w:rsid w:val="00823C89"/>
    <w:rsid w:val="008272BA"/>
    <w:rsid w:val="00827C69"/>
    <w:rsid w:val="008329E3"/>
    <w:rsid w:val="00834B23"/>
    <w:rsid w:val="008372CC"/>
    <w:rsid w:val="00842A4A"/>
    <w:rsid w:val="00844269"/>
    <w:rsid w:val="00852F63"/>
    <w:rsid w:val="0085601D"/>
    <w:rsid w:val="008639EC"/>
    <w:rsid w:val="0086522F"/>
    <w:rsid w:val="008702D0"/>
    <w:rsid w:val="00870CD5"/>
    <w:rsid w:val="008738A3"/>
    <w:rsid w:val="0087621F"/>
    <w:rsid w:val="008772A6"/>
    <w:rsid w:val="0088236D"/>
    <w:rsid w:val="00885D97"/>
    <w:rsid w:val="008878F0"/>
    <w:rsid w:val="0089419B"/>
    <w:rsid w:val="008A3855"/>
    <w:rsid w:val="008A6679"/>
    <w:rsid w:val="008A7553"/>
    <w:rsid w:val="008B33EE"/>
    <w:rsid w:val="008B614E"/>
    <w:rsid w:val="008C19B6"/>
    <w:rsid w:val="008D051C"/>
    <w:rsid w:val="008D10FE"/>
    <w:rsid w:val="008D6C06"/>
    <w:rsid w:val="008E599C"/>
    <w:rsid w:val="008E796B"/>
    <w:rsid w:val="008F0165"/>
    <w:rsid w:val="008F3A55"/>
    <w:rsid w:val="008F70C4"/>
    <w:rsid w:val="009020A1"/>
    <w:rsid w:val="00906754"/>
    <w:rsid w:val="0091157B"/>
    <w:rsid w:val="009115F6"/>
    <w:rsid w:val="00917C65"/>
    <w:rsid w:val="0092399E"/>
    <w:rsid w:val="00925678"/>
    <w:rsid w:val="009310E3"/>
    <w:rsid w:val="00931E00"/>
    <w:rsid w:val="00947E4C"/>
    <w:rsid w:val="0095083D"/>
    <w:rsid w:val="00952259"/>
    <w:rsid w:val="009558AD"/>
    <w:rsid w:val="009568DA"/>
    <w:rsid w:val="00960AA5"/>
    <w:rsid w:val="009630B9"/>
    <w:rsid w:val="00964EF2"/>
    <w:rsid w:val="00964F43"/>
    <w:rsid w:val="00966365"/>
    <w:rsid w:val="009664CA"/>
    <w:rsid w:val="009673FF"/>
    <w:rsid w:val="00967BDD"/>
    <w:rsid w:val="009722EC"/>
    <w:rsid w:val="0097422C"/>
    <w:rsid w:val="0097481F"/>
    <w:rsid w:val="009758F2"/>
    <w:rsid w:val="009759A1"/>
    <w:rsid w:val="009818C2"/>
    <w:rsid w:val="00984F3F"/>
    <w:rsid w:val="009869D0"/>
    <w:rsid w:val="00986A00"/>
    <w:rsid w:val="00991E54"/>
    <w:rsid w:val="009A6463"/>
    <w:rsid w:val="009B0E94"/>
    <w:rsid w:val="009B1594"/>
    <w:rsid w:val="009B7A61"/>
    <w:rsid w:val="009C18B0"/>
    <w:rsid w:val="009C22E6"/>
    <w:rsid w:val="009D0969"/>
    <w:rsid w:val="009D4A3C"/>
    <w:rsid w:val="009D5B33"/>
    <w:rsid w:val="009D5C91"/>
    <w:rsid w:val="009D6416"/>
    <w:rsid w:val="009D70B5"/>
    <w:rsid w:val="009E004E"/>
    <w:rsid w:val="009E0293"/>
    <w:rsid w:val="009E3131"/>
    <w:rsid w:val="009E4673"/>
    <w:rsid w:val="009E5CAF"/>
    <w:rsid w:val="009F0CE3"/>
    <w:rsid w:val="009F334B"/>
    <w:rsid w:val="009F462B"/>
    <w:rsid w:val="009F4936"/>
    <w:rsid w:val="009F67DD"/>
    <w:rsid w:val="009F6954"/>
    <w:rsid w:val="009F6E8B"/>
    <w:rsid w:val="00A002E1"/>
    <w:rsid w:val="00A0076F"/>
    <w:rsid w:val="00A041AF"/>
    <w:rsid w:val="00A04285"/>
    <w:rsid w:val="00A07FAD"/>
    <w:rsid w:val="00A10A77"/>
    <w:rsid w:val="00A13D64"/>
    <w:rsid w:val="00A2389B"/>
    <w:rsid w:val="00A249E0"/>
    <w:rsid w:val="00A27FDA"/>
    <w:rsid w:val="00A35937"/>
    <w:rsid w:val="00A37D1F"/>
    <w:rsid w:val="00A430E1"/>
    <w:rsid w:val="00A43D5D"/>
    <w:rsid w:val="00A43DA5"/>
    <w:rsid w:val="00A43EEF"/>
    <w:rsid w:val="00A4448C"/>
    <w:rsid w:val="00A52F9F"/>
    <w:rsid w:val="00A54E3D"/>
    <w:rsid w:val="00A6153F"/>
    <w:rsid w:val="00A70B19"/>
    <w:rsid w:val="00A72D6B"/>
    <w:rsid w:val="00A75D22"/>
    <w:rsid w:val="00A83B35"/>
    <w:rsid w:val="00A846C1"/>
    <w:rsid w:val="00A90671"/>
    <w:rsid w:val="00A91572"/>
    <w:rsid w:val="00A93C6C"/>
    <w:rsid w:val="00A968D9"/>
    <w:rsid w:val="00AA1675"/>
    <w:rsid w:val="00AA339F"/>
    <w:rsid w:val="00AA66B9"/>
    <w:rsid w:val="00AA7492"/>
    <w:rsid w:val="00AC1BB0"/>
    <w:rsid w:val="00AC52CB"/>
    <w:rsid w:val="00AD053A"/>
    <w:rsid w:val="00AD099D"/>
    <w:rsid w:val="00AD3136"/>
    <w:rsid w:val="00AD3B9C"/>
    <w:rsid w:val="00AD5F72"/>
    <w:rsid w:val="00AE0262"/>
    <w:rsid w:val="00AE0970"/>
    <w:rsid w:val="00AE1175"/>
    <w:rsid w:val="00AE47BE"/>
    <w:rsid w:val="00AE5EE9"/>
    <w:rsid w:val="00AE6D3A"/>
    <w:rsid w:val="00AF1200"/>
    <w:rsid w:val="00AF1726"/>
    <w:rsid w:val="00AF2F4B"/>
    <w:rsid w:val="00B000D3"/>
    <w:rsid w:val="00B01178"/>
    <w:rsid w:val="00B01AEA"/>
    <w:rsid w:val="00B0755D"/>
    <w:rsid w:val="00B13C58"/>
    <w:rsid w:val="00B174B2"/>
    <w:rsid w:val="00B2016E"/>
    <w:rsid w:val="00B20347"/>
    <w:rsid w:val="00B2364B"/>
    <w:rsid w:val="00B23B19"/>
    <w:rsid w:val="00B24274"/>
    <w:rsid w:val="00B31765"/>
    <w:rsid w:val="00B35F62"/>
    <w:rsid w:val="00B40F44"/>
    <w:rsid w:val="00B41460"/>
    <w:rsid w:val="00B461D2"/>
    <w:rsid w:val="00B55A4D"/>
    <w:rsid w:val="00B57196"/>
    <w:rsid w:val="00B6046E"/>
    <w:rsid w:val="00B74086"/>
    <w:rsid w:val="00B759D3"/>
    <w:rsid w:val="00B810A5"/>
    <w:rsid w:val="00B82879"/>
    <w:rsid w:val="00B82A93"/>
    <w:rsid w:val="00B82CE9"/>
    <w:rsid w:val="00B83E1A"/>
    <w:rsid w:val="00B84527"/>
    <w:rsid w:val="00B84E07"/>
    <w:rsid w:val="00B87B17"/>
    <w:rsid w:val="00B904D9"/>
    <w:rsid w:val="00B9249C"/>
    <w:rsid w:val="00BA287D"/>
    <w:rsid w:val="00BA439B"/>
    <w:rsid w:val="00BA5AD6"/>
    <w:rsid w:val="00BA79E7"/>
    <w:rsid w:val="00BB1386"/>
    <w:rsid w:val="00BC1535"/>
    <w:rsid w:val="00BD12B2"/>
    <w:rsid w:val="00BE45ED"/>
    <w:rsid w:val="00BF3082"/>
    <w:rsid w:val="00BF47F7"/>
    <w:rsid w:val="00C002E9"/>
    <w:rsid w:val="00C043D4"/>
    <w:rsid w:val="00C0628F"/>
    <w:rsid w:val="00C07F9A"/>
    <w:rsid w:val="00C1246F"/>
    <w:rsid w:val="00C13F9B"/>
    <w:rsid w:val="00C15E19"/>
    <w:rsid w:val="00C25D8C"/>
    <w:rsid w:val="00C35E45"/>
    <w:rsid w:val="00C375E1"/>
    <w:rsid w:val="00C4153A"/>
    <w:rsid w:val="00C41D9D"/>
    <w:rsid w:val="00C422FE"/>
    <w:rsid w:val="00C44058"/>
    <w:rsid w:val="00C55A0D"/>
    <w:rsid w:val="00C55F73"/>
    <w:rsid w:val="00C56710"/>
    <w:rsid w:val="00C57B5F"/>
    <w:rsid w:val="00C62400"/>
    <w:rsid w:val="00C628B1"/>
    <w:rsid w:val="00C637D4"/>
    <w:rsid w:val="00C672A1"/>
    <w:rsid w:val="00C702C7"/>
    <w:rsid w:val="00C712BA"/>
    <w:rsid w:val="00C720F3"/>
    <w:rsid w:val="00C77FCF"/>
    <w:rsid w:val="00C836B7"/>
    <w:rsid w:val="00C87667"/>
    <w:rsid w:val="00CA11E2"/>
    <w:rsid w:val="00CA5D0F"/>
    <w:rsid w:val="00CB1CFA"/>
    <w:rsid w:val="00CB3C1E"/>
    <w:rsid w:val="00CB66E2"/>
    <w:rsid w:val="00CC240B"/>
    <w:rsid w:val="00CC4385"/>
    <w:rsid w:val="00CD0094"/>
    <w:rsid w:val="00CD1D17"/>
    <w:rsid w:val="00CD27A0"/>
    <w:rsid w:val="00CE47B7"/>
    <w:rsid w:val="00CF20B7"/>
    <w:rsid w:val="00CF2E7F"/>
    <w:rsid w:val="00CF3E4C"/>
    <w:rsid w:val="00CF47F2"/>
    <w:rsid w:val="00CF518A"/>
    <w:rsid w:val="00D0070B"/>
    <w:rsid w:val="00D06C3B"/>
    <w:rsid w:val="00D16F6B"/>
    <w:rsid w:val="00D20251"/>
    <w:rsid w:val="00D2283C"/>
    <w:rsid w:val="00D22D92"/>
    <w:rsid w:val="00D25556"/>
    <w:rsid w:val="00D25D76"/>
    <w:rsid w:val="00D31CD5"/>
    <w:rsid w:val="00D323D2"/>
    <w:rsid w:val="00D323E1"/>
    <w:rsid w:val="00D365D8"/>
    <w:rsid w:val="00D55D97"/>
    <w:rsid w:val="00D56184"/>
    <w:rsid w:val="00D65510"/>
    <w:rsid w:val="00D6676C"/>
    <w:rsid w:val="00D8011F"/>
    <w:rsid w:val="00D84061"/>
    <w:rsid w:val="00D8446B"/>
    <w:rsid w:val="00D916E4"/>
    <w:rsid w:val="00D95A9A"/>
    <w:rsid w:val="00D9726C"/>
    <w:rsid w:val="00DA2036"/>
    <w:rsid w:val="00DA2FBE"/>
    <w:rsid w:val="00DA46F4"/>
    <w:rsid w:val="00DA7EB2"/>
    <w:rsid w:val="00DB5CD3"/>
    <w:rsid w:val="00DD1501"/>
    <w:rsid w:val="00DD160C"/>
    <w:rsid w:val="00DE7900"/>
    <w:rsid w:val="00DF273F"/>
    <w:rsid w:val="00DF51C1"/>
    <w:rsid w:val="00DF6AD0"/>
    <w:rsid w:val="00E04245"/>
    <w:rsid w:val="00E07780"/>
    <w:rsid w:val="00E170EB"/>
    <w:rsid w:val="00E31AD2"/>
    <w:rsid w:val="00E34483"/>
    <w:rsid w:val="00E3728A"/>
    <w:rsid w:val="00E44CD2"/>
    <w:rsid w:val="00E451EE"/>
    <w:rsid w:val="00E472B3"/>
    <w:rsid w:val="00E500C8"/>
    <w:rsid w:val="00E52F55"/>
    <w:rsid w:val="00E57E9B"/>
    <w:rsid w:val="00E62309"/>
    <w:rsid w:val="00E62FF7"/>
    <w:rsid w:val="00E65AE3"/>
    <w:rsid w:val="00E7059A"/>
    <w:rsid w:val="00E70D96"/>
    <w:rsid w:val="00E7655A"/>
    <w:rsid w:val="00E76D61"/>
    <w:rsid w:val="00E91A17"/>
    <w:rsid w:val="00EA1533"/>
    <w:rsid w:val="00EA343B"/>
    <w:rsid w:val="00EB1061"/>
    <w:rsid w:val="00EB1A02"/>
    <w:rsid w:val="00EB4BCF"/>
    <w:rsid w:val="00EB4FEC"/>
    <w:rsid w:val="00EB7786"/>
    <w:rsid w:val="00EC0B90"/>
    <w:rsid w:val="00EC7D69"/>
    <w:rsid w:val="00ED0974"/>
    <w:rsid w:val="00ED30E5"/>
    <w:rsid w:val="00ED4ABE"/>
    <w:rsid w:val="00ED6758"/>
    <w:rsid w:val="00ED6EF9"/>
    <w:rsid w:val="00EE5721"/>
    <w:rsid w:val="00EE5A77"/>
    <w:rsid w:val="00EF0092"/>
    <w:rsid w:val="00EF27B8"/>
    <w:rsid w:val="00EF7B88"/>
    <w:rsid w:val="00F01654"/>
    <w:rsid w:val="00F04216"/>
    <w:rsid w:val="00F04B5A"/>
    <w:rsid w:val="00F055B6"/>
    <w:rsid w:val="00F06AEF"/>
    <w:rsid w:val="00F162EC"/>
    <w:rsid w:val="00F22DE7"/>
    <w:rsid w:val="00F24FC9"/>
    <w:rsid w:val="00F26BF7"/>
    <w:rsid w:val="00F31332"/>
    <w:rsid w:val="00F31CA7"/>
    <w:rsid w:val="00F31D93"/>
    <w:rsid w:val="00F31F95"/>
    <w:rsid w:val="00F3677A"/>
    <w:rsid w:val="00F4044A"/>
    <w:rsid w:val="00F419CD"/>
    <w:rsid w:val="00F41C90"/>
    <w:rsid w:val="00F41F27"/>
    <w:rsid w:val="00F44389"/>
    <w:rsid w:val="00F4694F"/>
    <w:rsid w:val="00F60087"/>
    <w:rsid w:val="00F62792"/>
    <w:rsid w:val="00F7423C"/>
    <w:rsid w:val="00F755C4"/>
    <w:rsid w:val="00F83875"/>
    <w:rsid w:val="00F86BCB"/>
    <w:rsid w:val="00F9645B"/>
    <w:rsid w:val="00F97B2C"/>
    <w:rsid w:val="00FA3B67"/>
    <w:rsid w:val="00FA540C"/>
    <w:rsid w:val="00FB62A6"/>
    <w:rsid w:val="00FC1110"/>
    <w:rsid w:val="00FC3BE4"/>
    <w:rsid w:val="00FD4FA5"/>
    <w:rsid w:val="00FD6043"/>
    <w:rsid w:val="00FE2E5F"/>
    <w:rsid w:val="00FE3F1A"/>
    <w:rsid w:val="00FF13E9"/>
    <w:rsid w:val="00FF21B3"/>
    <w:rsid w:val="00FF4A2F"/>
    <w:rsid w:val="2BB2401A"/>
    <w:rsid w:val="39E22AE7"/>
    <w:rsid w:val="48340C07"/>
    <w:rsid w:val="63B45DF5"/>
    <w:rsid w:val="65D01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0" w:semiHidden="0" w:name="toc 1" w:locked="1"/>
    <w:lsdException w:uiPriority="0" w:semiHidden="0" w:name="toc 2" w:locked="1"/>
    <w:lsdException w:uiPriority="0" w:semiHidden="0" w:name="toc 3" w:locked="1"/>
    <w:lsdException w:uiPriority="0" w:semiHidden="0" w:name="toc 4" w:locked="1"/>
    <w:lsdException w:uiPriority="0" w:semiHidden="0" w:name="toc 5" w:locked="1"/>
    <w:lsdException w:uiPriority="0" w:semiHidden="0" w:name="toc 6" w:locked="1"/>
    <w:lsdException w:uiPriority="0" w:semiHidden="0" w:name="toc 7" w:locked="1"/>
    <w:lsdException w:uiPriority="0" w:semiHidden="0" w:name="toc 8" w:locked="1"/>
    <w:lsdException w:uiPriority="0" w:semiHidden="0" w:name="toc 9" w:locked="1"/>
    <w:lsdException w:uiPriority="99" w:name="Normal Indent"/>
    <w:lsdException w:uiPriority="99" w:name="footnote text"/>
    <w:lsdException w:qFormat="1" w:unhideWhenUsed="0" w:uiPriority="0" w:semiHidden="0" w:name="annotation text"/>
    <w:lsdException w:unhideWhenUsed="0" w:uiPriority="99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20" w:semiHidden="0" w:name="Emphasis" w:locked="1"/>
    <w:lsdException w:uiPriority="99" w:name="Document Map"/>
    <w:lsdException w:unhideWhenUsed="0" w:uiPriority="0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9"/>
    <w:pPr>
      <w:tabs>
        <w:tab w:val="left" w:pos="720"/>
      </w:tabs>
      <w:adjustRightInd w:val="0"/>
      <w:snapToGrid w:val="0"/>
      <w:spacing w:beforeLines="100" w:afterLines="100"/>
      <w:ind w:firstLine="627" w:firstLineChars="196"/>
      <w:outlineLvl w:val="0"/>
    </w:pPr>
    <w:rPr>
      <w:rFonts w:ascii="黑体" w:hAnsi="黑体" w:eastAsia="黑体"/>
      <w:color w:val="000000"/>
      <w:sz w:val="32"/>
      <w:szCs w:val="32"/>
    </w:rPr>
  </w:style>
  <w:style w:type="paragraph" w:styleId="3">
    <w:name w:val="heading 2"/>
    <w:basedOn w:val="1"/>
    <w:next w:val="1"/>
    <w:link w:val="20"/>
    <w:qFormat/>
    <w:uiPriority w:val="99"/>
    <w:pPr>
      <w:adjustRightInd w:val="0"/>
      <w:snapToGrid w:val="0"/>
      <w:spacing w:beforeLines="50" w:afterLines="50"/>
      <w:ind w:firstLine="560" w:firstLineChars="200"/>
      <w:outlineLvl w:val="1"/>
    </w:pPr>
    <w:rPr>
      <w:rFonts w:ascii="黑体" w:hAnsi="黑体" w:eastAsia="黑体"/>
      <w:color w:val="000000"/>
      <w:sz w:val="28"/>
      <w:szCs w:val="28"/>
    </w:rPr>
  </w:style>
  <w:style w:type="paragraph" w:styleId="4">
    <w:name w:val="heading 3"/>
    <w:basedOn w:val="1"/>
    <w:next w:val="1"/>
    <w:link w:val="21"/>
    <w:qFormat/>
    <w:uiPriority w:val="99"/>
    <w:pPr>
      <w:autoSpaceDE w:val="0"/>
      <w:autoSpaceDN w:val="0"/>
      <w:adjustRightInd w:val="0"/>
      <w:spacing w:line="360" w:lineRule="auto"/>
      <w:ind w:firstLine="516" w:firstLineChars="214"/>
      <w:outlineLvl w:val="2"/>
    </w:pPr>
    <w:rPr>
      <w:rFonts w:ascii="宋体" w:hAnsi="宋体" w:cs="仿宋_GB2312"/>
      <w:b/>
      <w:bCs/>
      <w:sz w:val="24"/>
      <w:szCs w:val="24"/>
    </w:rPr>
  </w:style>
  <w:style w:type="character" w:default="1" w:styleId="14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3"/>
    <w:qFormat/>
    <w:uiPriority w:val="0"/>
    <w:pPr>
      <w:jc w:val="left"/>
    </w:pPr>
    <w:rPr>
      <w:kern w:val="0"/>
      <w:sz w:val="24"/>
      <w:szCs w:val="20"/>
    </w:rPr>
  </w:style>
  <w:style w:type="paragraph" w:styleId="6">
    <w:name w:val="Plain Text"/>
    <w:basedOn w:val="1"/>
    <w:link w:val="31"/>
    <w:uiPriority w:val="0"/>
    <w:rPr>
      <w:rFonts w:ascii="宋体" w:hAnsi="Courier New" w:cs="Courier New"/>
      <w:iCs/>
      <w:color w:val="000000"/>
      <w:szCs w:val="21"/>
    </w:rPr>
  </w:style>
  <w:style w:type="paragraph" w:styleId="7">
    <w:name w:val="Balloon Text"/>
    <w:basedOn w:val="1"/>
    <w:link w:val="26"/>
    <w:semiHidden/>
    <w:qFormat/>
    <w:uiPriority w:val="99"/>
    <w:rPr>
      <w:sz w:val="18"/>
      <w:szCs w:val="18"/>
    </w:rPr>
  </w:style>
  <w:style w:type="paragraph" w:styleId="8">
    <w:name w:val="footer"/>
    <w:basedOn w:val="1"/>
    <w:link w:val="2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9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1">
    <w:name w:val="annotation subject"/>
    <w:basedOn w:val="5"/>
    <w:next w:val="5"/>
    <w:link w:val="27"/>
    <w:semiHidden/>
    <w:qFormat/>
    <w:uiPriority w:val="99"/>
    <w:rPr>
      <w:b/>
      <w:bCs/>
      <w:szCs w:val="22"/>
    </w:rPr>
  </w:style>
  <w:style w:type="table" w:styleId="13">
    <w:name w:val="Table Grid"/>
    <w:basedOn w:val="12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FollowedHyperlink"/>
    <w:basedOn w:val="14"/>
    <w:semiHidden/>
    <w:unhideWhenUsed/>
    <w:uiPriority w:val="99"/>
    <w:rPr>
      <w:color w:val="800080"/>
      <w:u w:val="single"/>
    </w:rPr>
  </w:style>
  <w:style w:type="character" w:styleId="16">
    <w:name w:val="Emphasis"/>
    <w:basedOn w:val="14"/>
    <w:qFormat/>
    <w:locked/>
    <w:uiPriority w:val="20"/>
    <w:rPr>
      <w:i/>
      <w:iCs/>
    </w:rPr>
  </w:style>
  <w:style w:type="character" w:styleId="17">
    <w:name w:val="Hyperlink"/>
    <w:basedOn w:val="14"/>
    <w:qFormat/>
    <w:uiPriority w:val="99"/>
    <w:rPr>
      <w:rFonts w:cs="Times New Roman"/>
      <w:color w:val="0000FF"/>
      <w:u w:val="single"/>
    </w:rPr>
  </w:style>
  <w:style w:type="character" w:styleId="18">
    <w:name w:val="annotation reference"/>
    <w:basedOn w:val="14"/>
    <w:qFormat/>
    <w:uiPriority w:val="0"/>
    <w:rPr>
      <w:rFonts w:cs="Times New Roman"/>
      <w:sz w:val="21"/>
    </w:rPr>
  </w:style>
  <w:style w:type="character" w:customStyle="1" w:styleId="19">
    <w:name w:val="标题 1 字符"/>
    <w:basedOn w:val="14"/>
    <w:link w:val="2"/>
    <w:locked/>
    <w:uiPriority w:val="99"/>
    <w:rPr>
      <w:rFonts w:ascii="黑体" w:hAnsi="黑体" w:eastAsia="黑体" w:cs="Times New Roman"/>
      <w:color w:val="000000"/>
      <w:sz w:val="32"/>
      <w:szCs w:val="32"/>
    </w:rPr>
  </w:style>
  <w:style w:type="character" w:customStyle="1" w:styleId="20">
    <w:name w:val="标题 2 字符"/>
    <w:basedOn w:val="14"/>
    <w:link w:val="3"/>
    <w:qFormat/>
    <w:locked/>
    <w:uiPriority w:val="99"/>
    <w:rPr>
      <w:rFonts w:ascii="黑体" w:hAnsi="黑体" w:eastAsia="黑体" w:cs="Times New Roman"/>
      <w:color w:val="000000"/>
      <w:sz w:val="28"/>
      <w:szCs w:val="28"/>
    </w:rPr>
  </w:style>
  <w:style w:type="character" w:customStyle="1" w:styleId="21">
    <w:name w:val="标题 3 字符"/>
    <w:basedOn w:val="14"/>
    <w:link w:val="4"/>
    <w:qFormat/>
    <w:locked/>
    <w:uiPriority w:val="99"/>
    <w:rPr>
      <w:rFonts w:ascii="宋体" w:eastAsia="宋体" w:cs="仿宋_GB2312"/>
      <w:b/>
      <w:bCs/>
      <w:sz w:val="24"/>
      <w:szCs w:val="24"/>
    </w:rPr>
  </w:style>
  <w:style w:type="character" w:customStyle="1" w:styleId="22">
    <w:name w:val="Comment Text Char"/>
    <w:qFormat/>
    <w:locked/>
    <w:uiPriority w:val="99"/>
    <w:rPr>
      <w:rFonts w:eastAsia="宋体"/>
      <w:sz w:val="24"/>
    </w:rPr>
  </w:style>
  <w:style w:type="character" w:customStyle="1" w:styleId="23">
    <w:name w:val="批注文字 字符"/>
    <w:basedOn w:val="14"/>
    <w:link w:val="5"/>
    <w:qFormat/>
    <w:locked/>
    <w:uiPriority w:val="0"/>
    <w:rPr>
      <w:rFonts w:cs="Times New Roman"/>
    </w:rPr>
  </w:style>
  <w:style w:type="character" w:customStyle="1" w:styleId="24">
    <w:name w:val="批注文字 Char1"/>
    <w:basedOn w:val="14"/>
    <w:semiHidden/>
    <w:qFormat/>
    <w:uiPriority w:val="99"/>
    <w:rPr>
      <w:rFonts w:cs="Times New Roman"/>
    </w:rPr>
  </w:style>
  <w:style w:type="paragraph" w:customStyle="1" w:styleId="25">
    <w:name w:val="Char Char Char Char"/>
    <w:basedOn w:val="1"/>
    <w:qFormat/>
    <w:uiPriority w:val="99"/>
    <w:pPr>
      <w:widowControl/>
      <w:spacing w:after="160" w:line="240" w:lineRule="exact"/>
      <w:jc w:val="left"/>
    </w:pPr>
    <w:rPr>
      <w:rFonts w:ascii="Times New Roman" w:hAnsi="Times New Roman"/>
      <w:szCs w:val="24"/>
    </w:rPr>
  </w:style>
  <w:style w:type="character" w:customStyle="1" w:styleId="26">
    <w:name w:val="批注框文本 字符"/>
    <w:basedOn w:val="14"/>
    <w:link w:val="7"/>
    <w:semiHidden/>
    <w:qFormat/>
    <w:locked/>
    <w:uiPriority w:val="99"/>
    <w:rPr>
      <w:rFonts w:cs="Times New Roman"/>
      <w:sz w:val="18"/>
      <w:szCs w:val="18"/>
    </w:rPr>
  </w:style>
  <w:style w:type="character" w:customStyle="1" w:styleId="27">
    <w:name w:val="批注主题 字符"/>
    <w:basedOn w:val="22"/>
    <w:link w:val="11"/>
    <w:semiHidden/>
    <w:qFormat/>
    <w:locked/>
    <w:uiPriority w:val="99"/>
    <w:rPr>
      <w:rFonts w:eastAsia="宋体" w:cs="Times New Roman"/>
      <w:b/>
      <w:bCs/>
      <w:sz w:val="24"/>
      <w:szCs w:val="24"/>
    </w:rPr>
  </w:style>
  <w:style w:type="character" w:customStyle="1" w:styleId="28">
    <w:name w:val="页脚 字符"/>
    <w:basedOn w:val="14"/>
    <w:link w:val="8"/>
    <w:qFormat/>
    <w:locked/>
    <w:uiPriority w:val="99"/>
    <w:rPr>
      <w:rFonts w:cs="Times New Roman"/>
      <w:sz w:val="18"/>
      <w:szCs w:val="18"/>
    </w:rPr>
  </w:style>
  <w:style w:type="character" w:customStyle="1" w:styleId="29">
    <w:name w:val="页眉 字符"/>
    <w:basedOn w:val="14"/>
    <w:link w:val="9"/>
    <w:semiHidden/>
    <w:qFormat/>
    <w:locked/>
    <w:uiPriority w:val="99"/>
    <w:rPr>
      <w:rFonts w:cs="Times New Roman"/>
      <w:sz w:val="18"/>
      <w:szCs w:val="18"/>
    </w:rPr>
  </w:style>
  <w:style w:type="character" w:customStyle="1" w:styleId="30">
    <w:name w:val="Plain Text Char"/>
    <w:basedOn w:val="14"/>
    <w:semiHidden/>
    <w:qFormat/>
    <w:locked/>
    <w:uiPriority w:val="99"/>
    <w:rPr>
      <w:rFonts w:ascii="宋体" w:hAnsi="Courier New" w:cs="Courier New"/>
      <w:sz w:val="21"/>
      <w:szCs w:val="21"/>
    </w:rPr>
  </w:style>
  <w:style w:type="character" w:customStyle="1" w:styleId="31">
    <w:name w:val="纯文本 字符"/>
    <w:basedOn w:val="14"/>
    <w:link w:val="6"/>
    <w:qFormat/>
    <w:locked/>
    <w:uiPriority w:val="99"/>
    <w:rPr>
      <w:rFonts w:ascii="宋体" w:hAnsi="Courier New" w:eastAsia="宋体" w:cs="Courier New"/>
      <w:iCs/>
      <w:color w:val="000000"/>
      <w:kern w:val="2"/>
      <w:sz w:val="21"/>
      <w:szCs w:val="21"/>
      <w:lang w:val="en-US" w:eastAsia="zh-CN" w:bidi="ar-SA"/>
    </w:rPr>
  </w:style>
  <w:style w:type="character" w:customStyle="1" w:styleId="32">
    <w:name w:val="apple-converted-space"/>
    <w:basedOn w:val="14"/>
    <w:qFormat/>
    <w:uiPriority w:val="99"/>
    <w:rPr>
      <w:rFonts w:cs="Times New Roman"/>
    </w:rPr>
  </w:style>
  <w:style w:type="paragraph" w:customStyle="1" w:styleId="33">
    <w:name w:val="List Paragraph1"/>
    <w:basedOn w:val="1"/>
    <w:qFormat/>
    <w:uiPriority w:val="99"/>
    <w:pPr>
      <w:ind w:firstLine="420" w:firstLineChars="200"/>
    </w:pPr>
  </w:style>
  <w:style w:type="paragraph" w:customStyle="1" w:styleId="34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35">
    <w:name w:val="xl6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36">
    <w:name w:val="xl66"/>
    <w:basedOn w:val="1"/>
    <w:qFormat/>
    <w:uiPriority w:val="0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37">
    <w:name w:val="xl67"/>
    <w:basedOn w:val="1"/>
    <w:qFormat/>
    <w:uiPriority w:val="0"/>
    <w:pPr>
      <w:widowControl/>
      <w:shd w:val="clear" w:color="000000" w:fill="F2F2F2"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38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39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0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1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2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43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4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45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6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7">
    <w:name w:val="xl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8">
    <w:name w:val="xl7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49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50">
    <w:name w:val="xl80"/>
    <w:basedOn w:val="1"/>
    <w:qFormat/>
    <w:uiPriority w:val="0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51">
    <w:name w:val="xl81"/>
    <w:basedOn w:val="1"/>
    <w:qFormat/>
    <w:uiPriority w:val="0"/>
    <w:pPr>
      <w:widowControl/>
      <w:shd w:val="clear" w:color="000000" w:fill="F2F2F2"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52">
    <w:name w:val="xl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3">
    <w:name w:val="xl8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4">
    <w:name w:val="xl84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5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6">
    <w:name w:val="xl8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7">
    <w:name w:val="xl8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58">
    <w:name w:val="xl88"/>
    <w:basedOn w:val="1"/>
    <w:qFormat/>
    <w:uiPriority w:val="0"/>
    <w:pPr>
      <w:widowControl/>
      <w:pBdr>
        <w:left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9">
    <w:name w:val="xl89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60">
    <w:name w:val="xl90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61">
    <w:name w:val="xl91"/>
    <w:basedOn w:val="1"/>
    <w:qFormat/>
    <w:uiPriority w:val="0"/>
    <w:pPr>
      <w:widowControl/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2">
    <w:name w:val="xl9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3">
    <w:name w:val="xl9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64">
    <w:name w:val="xl9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65">
    <w:name w:val="xl95"/>
    <w:basedOn w:val="1"/>
    <w:qFormat/>
    <w:uiPriority w:val="0"/>
    <w:pPr>
      <w:widowControl/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66">
    <w:name w:val="xl9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67">
    <w:name w:val="xl9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8">
    <w:name w:val="xl98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9">
    <w:name w:val="xl99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70">
    <w:name w:val="xl10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71">
    <w:name w:val="xl101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72">
    <w:name w:val="xl102"/>
    <w:basedOn w:val="1"/>
    <w:qFormat/>
    <w:uiPriority w:val="0"/>
    <w:pPr>
      <w:widowControl/>
      <w:pBdr>
        <w:top w:val="single" w:color="auto" w:sz="8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3">
    <w:name w:val="xl103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4">
    <w:name w:val="xl104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5">
    <w:name w:val="xl105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6">
    <w:name w:val="xl106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7">
    <w:name w:val="xl107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8">
    <w:name w:val="xl108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9">
    <w:name w:val="xl109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0">
    <w:name w:val="xl110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1">
    <w:name w:val="xl111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2">
    <w:name w:val="xl112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3">
    <w:name w:val="xl113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4">
    <w:name w:val="xl114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5">
    <w:name w:val="xl115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6">
    <w:name w:val="xl116"/>
    <w:basedOn w:val="1"/>
    <w:uiPriority w:val="0"/>
    <w:pPr>
      <w:widowControl/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7">
    <w:name w:val="xl117"/>
    <w:basedOn w:val="1"/>
    <w:qFormat/>
    <w:uiPriority w:val="0"/>
    <w:pPr>
      <w:widowControl/>
      <w:pBdr>
        <w:top w:val="single" w:color="auto" w:sz="8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8">
    <w:name w:val="xl118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9">
    <w:name w:val="xl119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0">
    <w:name w:val="xl120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1">
    <w:name w:val="xl121"/>
    <w:basedOn w:val="1"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2">
    <w:name w:val="xl122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3">
    <w:name w:val="xl123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4">
    <w:name w:val="xl124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5">
    <w:name w:val="xl125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6">
    <w:name w:val="xl126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7">
    <w:name w:val="xl127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8">
    <w:name w:val="xl128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9">
    <w:name w:val="xl129"/>
    <w:basedOn w:val="1"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0">
    <w:name w:val="xl130"/>
    <w:basedOn w:val="1"/>
    <w:uiPriority w:val="0"/>
    <w:pPr>
      <w:widowControl/>
      <w:pBdr>
        <w:top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1">
    <w:name w:val="xl131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2">
    <w:name w:val="xl132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3">
    <w:name w:val="xl13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4">
    <w:name w:val="xl134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5">
    <w:name w:val="xl135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styleId="106">
    <w:name w:val="List Paragraph"/>
    <w:basedOn w:val="1"/>
    <w:qFormat/>
    <w:uiPriority w:val="34"/>
    <w:pPr>
      <w:widowControl/>
      <w:ind w:firstLine="420" w:firstLineChars="20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107">
    <w:name w:val="纯文本 字符1"/>
    <w:qFormat/>
    <w:uiPriority w:val="0"/>
    <w:rPr>
      <w:rFonts w:eastAsia="宋体"/>
    </w:rPr>
  </w:style>
  <w:style w:type="paragraph" w:customStyle="1" w:styleId="108">
    <w:name w:val="样式1"/>
    <w:basedOn w:val="1"/>
    <w:qFormat/>
    <w:uiPriority w:val="0"/>
    <w:pPr>
      <w:widowControl/>
      <w:jc w:val="left"/>
    </w:pPr>
    <w:rPr>
      <w:rFonts w:ascii="Times New Roman" w:hAnsi="Times New Roman"/>
      <w:kern w:val="0"/>
      <w:sz w:val="24"/>
      <w:szCs w:val="24"/>
      <w:lang w:eastAsia="en-US" w:bidi="en-US"/>
    </w:rPr>
  </w:style>
  <w:style w:type="table" w:customStyle="1" w:styleId="109">
    <w:name w:val="网格型1"/>
    <w:basedOn w:val="12"/>
    <w:qFormat/>
    <w:uiPriority w:val="3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">
    <w:name w:val="网格型2"/>
    <w:basedOn w:val="12"/>
    <w:qFormat/>
    <w:uiPriority w:val="3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1">
    <w:name w:val="表格"/>
    <w:basedOn w:val="1"/>
    <w:link w:val="112"/>
    <w:qFormat/>
    <w:uiPriority w:val="0"/>
    <w:pPr>
      <w:adjustRightInd w:val="0"/>
      <w:snapToGrid w:val="0"/>
      <w:jc w:val="center"/>
    </w:pPr>
    <w:rPr>
      <w:rFonts w:ascii="宋体" w:hAnsi="宋体" w:cstheme="minorBidi"/>
      <w:color w:val="000000" w:themeColor="text1"/>
      <w:szCs w:val="21"/>
      <w14:textFill>
        <w14:solidFill>
          <w14:schemeClr w14:val="tx1"/>
        </w14:solidFill>
      </w14:textFill>
    </w:rPr>
  </w:style>
  <w:style w:type="character" w:customStyle="1" w:styleId="112">
    <w:name w:val="表格 字符"/>
    <w:basedOn w:val="14"/>
    <w:link w:val="111"/>
    <w:qFormat/>
    <w:uiPriority w:val="0"/>
    <w:rPr>
      <w:rFonts w:ascii="宋体" w:hAnsi="宋体" w:cstheme="minorBidi"/>
      <w:color w:val="000000" w:themeColor="text1"/>
      <w:kern w:val="2"/>
      <w:sz w:val="21"/>
      <w:szCs w:val="21"/>
      <w14:textFill>
        <w14:solidFill>
          <w14:schemeClr w14:val="tx1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A9FF0CE-06D6-4A15-A82E-57F36B9595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1401</Words>
  <Characters>1458</Characters>
  <Lines>10</Lines>
  <Paragraphs>3</Paragraphs>
  <TotalTime>134</TotalTime>
  <ScaleCrop>false</ScaleCrop>
  <LinksUpToDate>false</LinksUpToDate>
  <CharactersWithSpaces>1475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2019-12-23T02:15:00Z</dcterms:created>
  <dc:creator>王涛</dc:creator>
  <cp:lastModifiedBy>张英华</cp:lastModifiedBy>
  <dcterms:modified xsi:type="dcterms:W3CDTF">2023-06-09T02:56:04Z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25D4815879954587AAC689CAE5FC1F4A</vt:lpwstr>
  </property>
</Properties>
</file>