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337" w:rsidRDefault="00E063D3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航海技术</w:t>
      </w:r>
      <w:r>
        <w:rPr>
          <w:rFonts w:ascii="微软雅黑" w:eastAsia="微软雅黑" w:hAnsi="微软雅黑"/>
          <w:b/>
          <w:sz w:val="36"/>
          <w:szCs w:val="36"/>
        </w:rPr>
        <w:t>专业</w:t>
      </w:r>
    </w:p>
    <w:p w:rsidR="003D7337" w:rsidRDefault="00E063D3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2022-2023学年第</w:t>
      </w:r>
      <w:r w:rsidR="005C1BCE">
        <w:rPr>
          <w:rFonts w:ascii="微软雅黑" w:eastAsia="微软雅黑" w:hAnsi="微软雅黑" w:hint="eastAsia"/>
          <w:b/>
          <w:sz w:val="36"/>
          <w:szCs w:val="36"/>
        </w:rPr>
        <w:t>二</w:t>
      </w:r>
      <w:bookmarkStart w:id="0" w:name="_GoBack"/>
      <w:bookmarkEnd w:id="0"/>
      <w:r>
        <w:rPr>
          <w:rFonts w:ascii="微软雅黑" w:eastAsia="微软雅黑" w:hAnsi="微软雅黑" w:hint="eastAsia"/>
          <w:b/>
          <w:sz w:val="36"/>
          <w:szCs w:val="36"/>
        </w:rPr>
        <w:t>学期转专业录取办法</w:t>
      </w:r>
    </w:p>
    <w:p w:rsidR="003D7337" w:rsidRDefault="00E063D3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bookmarkStart w:id="1" w:name="_Toc396497324"/>
      <w:bookmarkStart w:id="2" w:name="_Toc396497526"/>
      <w:bookmarkStart w:id="3" w:name="_Toc396501700"/>
      <w:bookmarkStart w:id="4" w:name="_Toc393236437"/>
      <w:bookmarkStart w:id="5" w:name="_Toc396497634"/>
      <w:r>
        <w:rPr>
          <w:rFonts w:ascii="Times New Roman" w:hint="eastAsia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本办法。</w:t>
      </w:r>
    </w:p>
    <w:p w:rsidR="003D7337" w:rsidRDefault="00E063D3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一、专业基本信息</w:t>
      </w:r>
      <w:bookmarkEnd w:id="1"/>
      <w:bookmarkEnd w:id="2"/>
      <w:bookmarkEnd w:id="3"/>
      <w:bookmarkEnd w:id="4"/>
      <w:bookmarkEnd w:id="5"/>
    </w:p>
    <w:p w:rsidR="003D7337" w:rsidRDefault="00E063D3">
      <w:pPr>
        <w:pStyle w:val="2"/>
        <w:spacing w:before="156" w:after="156"/>
        <w:ind w:firstLineChars="0" w:firstLine="0"/>
        <w:rPr>
          <w:rFonts w:ascii="微软雅黑" w:eastAsia="微软雅黑" w:hAnsi="微软雅黑"/>
          <w:b/>
          <w:color w:val="auto"/>
        </w:rPr>
      </w:pPr>
      <w:bookmarkStart w:id="6" w:name="_Toc396497325"/>
      <w:bookmarkStart w:id="7" w:name="_Toc396497635"/>
      <w:bookmarkStart w:id="8" w:name="_Toc393236438"/>
      <w:bookmarkStart w:id="9" w:name="_Toc396501701"/>
      <w:bookmarkStart w:id="10" w:name="_Toc396497527"/>
      <w:r>
        <w:rPr>
          <w:rFonts w:ascii="微软雅黑" w:eastAsia="微软雅黑" w:hAnsi="微软雅黑"/>
          <w:b/>
          <w:color w:val="auto"/>
        </w:rPr>
        <w:t>（一）专业名称</w:t>
      </w:r>
      <w:bookmarkEnd w:id="6"/>
      <w:bookmarkEnd w:id="7"/>
      <w:bookmarkEnd w:id="8"/>
      <w:bookmarkEnd w:id="9"/>
      <w:bookmarkEnd w:id="10"/>
    </w:p>
    <w:p w:rsidR="003D7337" w:rsidRDefault="00E063D3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航海技术专业</w:t>
      </w:r>
      <w:r>
        <w:rPr>
          <w:rFonts w:ascii="Times New Roman" w:hint="eastAsia"/>
          <w:sz w:val="28"/>
          <w:szCs w:val="28"/>
        </w:rPr>
        <w:t xml:space="preserve">   </w:t>
      </w:r>
      <w:r>
        <w:rPr>
          <w:rFonts w:ascii="Times New Roman" w:hint="eastAsia"/>
          <w:sz w:val="28"/>
          <w:szCs w:val="28"/>
        </w:rPr>
        <w:t>专业代码</w:t>
      </w:r>
      <w:r>
        <w:rPr>
          <w:rFonts w:ascii="Times New Roman" w:hint="eastAsia"/>
          <w:sz w:val="28"/>
          <w:szCs w:val="28"/>
        </w:rPr>
        <w:t xml:space="preserve"> 500301</w:t>
      </w:r>
    </w:p>
    <w:p w:rsidR="003D7337" w:rsidRDefault="00E063D3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）人才培养目标</w:t>
      </w:r>
    </w:p>
    <w:p w:rsidR="003D7337" w:rsidRDefault="00E063D3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本专业培养具有社会主义核心价值观，德、智、体、美、劳全面发展，具有家国情怀与敬业精神，健全人格与健康体魄，规则意识与创新思维，具有蓝海视野，胜任国际交流，掌握航海技术专业知识和技术技能，面向水上交通运输业，能够在船舶生产一线从事值班、维护、通信、营运与管理等工作，并做到安全、绿色、高效、创新与可持续发展兼顾。学生毕业</w:t>
      </w:r>
      <w:r>
        <w:rPr>
          <w:rFonts w:ascii="Times New Roman"/>
          <w:sz w:val="28"/>
          <w:szCs w:val="28"/>
        </w:rPr>
        <w:t>3</w:t>
      </w:r>
      <w:r>
        <w:rPr>
          <w:rFonts w:ascii="Times New Roman"/>
          <w:sz w:val="28"/>
          <w:szCs w:val="28"/>
        </w:rPr>
        <w:t>年后，应能够成为精通船舶甲板部操作级人员岗位技能、善于船舶管理的技术骨干，并能达到船舶专业技术人员助理工程师水平。</w:t>
      </w:r>
    </w:p>
    <w:p w:rsidR="003D7337" w:rsidRDefault="00E063D3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（三）职业面向</w:t>
      </w:r>
    </w:p>
    <w:tbl>
      <w:tblPr>
        <w:tblW w:w="921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0"/>
        <w:gridCol w:w="1214"/>
        <w:gridCol w:w="1260"/>
        <w:gridCol w:w="2116"/>
        <w:gridCol w:w="1769"/>
        <w:gridCol w:w="1861"/>
      </w:tblGrid>
      <w:tr w:rsidR="003D7337">
        <w:trPr>
          <w:jc w:val="center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lastRenderedPageBreak/>
              <w:t>专业大类（代码）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专业类</w:t>
            </w:r>
          </w:p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（代码）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主要面向的行业</w:t>
            </w:r>
          </w:p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（代码）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主要面向的职业类别</w:t>
            </w:r>
          </w:p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（代码）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主要就业的岗位群或技术领域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职业资格或职业技能等级证书举例</w:t>
            </w:r>
          </w:p>
        </w:tc>
      </w:tr>
      <w:tr w:rsidR="003D7337">
        <w:trPr>
          <w:trHeight w:val="619"/>
          <w:jc w:val="center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交通运输大类</w:t>
            </w:r>
          </w:p>
          <w:p w:rsidR="003D7337" w:rsidRDefault="00E063D3">
            <w:pPr>
              <w:pStyle w:val="af0"/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）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水上运输类</w:t>
            </w:r>
          </w:p>
          <w:p w:rsidR="003D7337" w:rsidRDefault="00E063D3">
            <w:pPr>
              <w:pStyle w:val="af0"/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5003</w:t>
            </w: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）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水上运输业</w:t>
            </w:r>
          </w:p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）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甲板部技术人员（</w:t>
            </w: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2-04-02-01</w:t>
            </w: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）</w:t>
            </w:r>
          </w:p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客运船舶驾驶员（</w:t>
            </w: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4-02-03-01</w:t>
            </w: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）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海船甲板部操作级船员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337" w:rsidRDefault="00E063D3">
            <w:pPr>
              <w:pStyle w:val="af0"/>
              <w:widowControl/>
              <w:rPr>
                <w:rFonts w:ascii="Times New Roman" w:hAnsi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0"/>
                <w:szCs w:val="20"/>
              </w:rPr>
              <w:t>三副船员适任证书</w:t>
            </w:r>
          </w:p>
        </w:tc>
      </w:tr>
    </w:tbl>
    <w:p w:rsidR="003D7337" w:rsidRDefault="00E063D3">
      <w:pPr>
        <w:pStyle w:val="1"/>
        <w:numPr>
          <w:ilvl w:val="0"/>
          <w:numId w:val="1"/>
        </w:numPr>
        <w:spacing w:before="312" w:after="312"/>
        <w:ind w:firstLineChars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专业核心课程</w:t>
      </w:r>
    </w:p>
    <w:p w:rsidR="003D7337" w:rsidRDefault="00E063D3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船舶定位与导航、海上货物运输、航海英语、船舶操纵与避碰、船舶管理（航海）</w:t>
      </w:r>
    </w:p>
    <w:p w:rsidR="003D7337" w:rsidRDefault="003D7337"/>
    <w:p w:rsidR="003D7337" w:rsidRDefault="00E063D3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（五）毕业资格条件</w:t>
      </w:r>
    </w:p>
    <w:p w:rsidR="003D7337" w:rsidRDefault="00E063D3">
      <w:pPr>
        <w:pStyle w:val="2"/>
        <w:spacing w:before="156" w:after="156"/>
      </w:pPr>
      <w:bookmarkStart w:id="11" w:name="_Toc6350"/>
      <w:bookmarkStart w:id="12" w:name="_Toc8182"/>
      <w:bookmarkStart w:id="13" w:name="_Toc22929"/>
      <w:bookmarkStart w:id="14" w:name="_Toc18963"/>
      <w:bookmarkStart w:id="15" w:name="_Toc396497636"/>
      <w:bookmarkStart w:id="16" w:name="_Toc393236439"/>
      <w:bookmarkStart w:id="17" w:name="_Toc396497528"/>
      <w:bookmarkStart w:id="18" w:name="_Toc396497326"/>
      <w:bookmarkStart w:id="19" w:name="_Toc396501702"/>
      <w:r>
        <w:rPr>
          <w:rFonts w:hint="eastAsia"/>
        </w:rPr>
        <w:t>（一）毕业学分要求</w:t>
      </w:r>
      <w:bookmarkEnd w:id="11"/>
      <w:bookmarkEnd w:id="12"/>
      <w:bookmarkEnd w:id="13"/>
      <w:bookmarkEnd w:id="14"/>
    </w:p>
    <w:p w:rsidR="003D7337" w:rsidRDefault="00E063D3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学生共须修满</w:t>
      </w:r>
      <w:r>
        <w:rPr>
          <w:rFonts w:ascii="Times New Roman" w:hint="eastAsia"/>
          <w:sz w:val="28"/>
          <w:szCs w:val="28"/>
        </w:rPr>
        <w:t>149.5</w:t>
      </w:r>
      <w:r>
        <w:rPr>
          <w:rFonts w:ascii="Times New Roman" w:hint="eastAsia"/>
          <w:sz w:val="28"/>
          <w:szCs w:val="28"/>
        </w:rPr>
        <w:t>学分，其中通识必修课应修满</w:t>
      </w:r>
      <w:r>
        <w:rPr>
          <w:rFonts w:ascii="Times New Roman" w:hint="eastAsia"/>
          <w:sz w:val="28"/>
          <w:szCs w:val="28"/>
        </w:rPr>
        <w:t>37</w:t>
      </w:r>
      <w:r>
        <w:rPr>
          <w:rFonts w:ascii="Times New Roman" w:hint="eastAsia"/>
          <w:sz w:val="28"/>
          <w:szCs w:val="28"/>
        </w:rPr>
        <w:t>学分，通识限选课修满</w:t>
      </w:r>
      <w:r>
        <w:rPr>
          <w:rFonts w:ascii="Times New Roman" w:hint="eastAsia"/>
          <w:sz w:val="28"/>
          <w:szCs w:val="28"/>
        </w:rPr>
        <w:t>7</w:t>
      </w:r>
      <w:r>
        <w:rPr>
          <w:rFonts w:ascii="Times New Roman" w:hint="eastAsia"/>
          <w:sz w:val="28"/>
          <w:szCs w:val="28"/>
        </w:rPr>
        <w:t>学分</w:t>
      </w:r>
      <w:r>
        <w:rPr>
          <w:rFonts w:ascii="Times New Roman" w:hint="eastAsia"/>
          <w:sz w:val="28"/>
          <w:szCs w:val="28"/>
        </w:rPr>
        <w:t xml:space="preserve">, </w:t>
      </w:r>
      <w:r>
        <w:rPr>
          <w:rFonts w:ascii="Times New Roman" w:hint="eastAsia"/>
          <w:sz w:val="28"/>
          <w:szCs w:val="28"/>
        </w:rPr>
        <w:t>通识任选课修满</w:t>
      </w:r>
      <w:r>
        <w:rPr>
          <w:rFonts w:ascii="Times New Roman" w:hint="eastAsia"/>
          <w:sz w:val="28"/>
          <w:szCs w:val="28"/>
        </w:rPr>
        <w:t>4</w:t>
      </w:r>
      <w:r>
        <w:rPr>
          <w:rFonts w:ascii="Times New Roman" w:hint="eastAsia"/>
          <w:sz w:val="28"/>
          <w:szCs w:val="28"/>
        </w:rPr>
        <w:t>学分；专业教育修满</w:t>
      </w:r>
      <w:r>
        <w:rPr>
          <w:rFonts w:ascii="Times New Roman" w:hint="eastAsia"/>
          <w:sz w:val="28"/>
          <w:szCs w:val="28"/>
        </w:rPr>
        <w:t>51</w:t>
      </w:r>
      <w:r>
        <w:rPr>
          <w:rFonts w:ascii="Times New Roman" w:hint="eastAsia"/>
          <w:sz w:val="28"/>
          <w:szCs w:val="28"/>
        </w:rPr>
        <w:t>学分；素质拓展与社会实践类课程修满</w:t>
      </w:r>
      <w:r>
        <w:rPr>
          <w:rFonts w:ascii="Times New Roman" w:hint="eastAsia"/>
          <w:sz w:val="28"/>
          <w:szCs w:val="28"/>
        </w:rPr>
        <w:t>8</w:t>
      </w:r>
      <w:r>
        <w:rPr>
          <w:rFonts w:ascii="Times New Roman" w:hint="eastAsia"/>
          <w:sz w:val="28"/>
          <w:szCs w:val="28"/>
        </w:rPr>
        <w:t>学分；专业拓展</w:t>
      </w:r>
      <w:r>
        <w:rPr>
          <w:rFonts w:ascii="Times New Roman" w:hint="eastAsia"/>
          <w:sz w:val="28"/>
          <w:szCs w:val="28"/>
        </w:rPr>
        <w:t>6</w:t>
      </w:r>
      <w:r>
        <w:rPr>
          <w:rFonts w:ascii="Times New Roman" w:hint="eastAsia"/>
          <w:sz w:val="28"/>
          <w:szCs w:val="28"/>
        </w:rPr>
        <w:t>学分；个性拓展模块修满</w:t>
      </w:r>
      <w:r>
        <w:rPr>
          <w:rFonts w:ascii="Times New Roman" w:hint="eastAsia"/>
          <w:sz w:val="28"/>
          <w:szCs w:val="28"/>
        </w:rPr>
        <w:t>4</w:t>
      </w:r>
      <w:r>
        <w:rPr>
          <w:rFonts w:ascii="Times New Roman" w:hint="eastAsia"/>
          <w:sz w:val="28"/>
          <w:szCs w:val="28"/>
        </w:rPr>
        <w:t>个学分；综合实践类</w:t>
      </w:r>
      <w:r>
        <w:rPr>
          <w:rFonts w:ascii="Times New Roman" w:hint="eastAsia"/>
          <w:sz w:val="28"/>
          <w:szCs w:val="28"/>
        </w:rPr>
        <w:t>30</w:t>
      </w:r>
      <w:r>
        <w:rPr>
          <w:rFonts w:ascii="Times New Roman" w:hint="eastAsia"/>
          <w:sz w:val="28"/>
          <w:szCs w:val="28"/>
        </w:rPr>
        <w:t>学分。各类课程学分可根据《江苏海院学分积累、转换和认定办法》予以认定。</w:t>
      </w:r>
    </w:p>
    <w:p w:rsidR="003D7337" w:rsidRDefault="00E063D3">
      <w:pPr>
        <w:pStyle w:val="2"/>
        <w:spacing w:before="156" w:after="156"/>
      </w:pPr>
      <w:bookmarkStart w:id="20" w:name="_Toc20972"/>
      <w:bookmarkStart w:id="21" w:name="_Toc5198"/>
      <w:bookmarkStart w:id="22" w:name="_Toc30529"/>
      <w:bookmarkStart w:id="23" w:name="_Toc26051"/>
      <w:r>
        <w:rPr>
          <w:rFonts w:hint="eastAsia"/>
        </w:rPr>
        <w:t>（二）职业技能或职业资格证书要求</w:t>
      </w:r>
      <w:bookmarkEnd w:id="20"/>
      <w:bookmarkEnd w:id="21"/>
      <w:bookmarkEnd w:id="22"/>
      <w:bookmarkEnd w:id="23"/>
    </w:p>
    <w:p w:rsidR="003D7337" w:rsidRDefault="00E063D3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bookmarkStart w:id="24" w:name="_Toc9435"/>
      <w:r>
        <w:rPr>
          <w:rFonts w:ascii="Times New Roman" w:hint="eastAsia"/>
          <w:sz w:val="28"/>
          <w:szCs w:val="28"/>
        </w:rPr>
        <w:t>1.</w:t>
      </w:r>
      <w:r>
        <w:rPr>
          <w:rFonts w:ascii="Times New Roman" w:hint="eastAsia"/>
          <w:sz w:val="28"/>
          <w:szCs w:val="28"/>
        </w:rPr>
        <w:t>必须获取证书：基本安全合格证、保安意识与保安职责合格证、高级消防合格证、精通艇筏合格证、精通急救</w:t>
      </w:r>
    </w:p>
    <w:p w:rsidR="003D7337" w:rsidRDefault="00E063D3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2.</w:t>
      </w:r>
      <w:r>
        <w:rPr>
          <w:rFonts w:ascii="Times New Roman" w:hint="eastAsia"/>
          <w:sz w:val="28"/>
          <w:szCs w:val="28"/>
        </w:rPr>
        <w:t>建议获取证书：值班水手合格证、</w:t>
      </w:r>
      <w:r>
        <w:rPr>
          <w:rFonts w:ascii="Times New Roman" w:hint="eastAsia"/>
          <w:sz w:val="28"/>
          <w:szCs w:val="28"/>
        </w:rPr>
        <w:t>GMDSS</w:t>
      </w:r>
      <w:r>
        <w:rPr>
          <w:rFonts w:ascii="Times New Roman" w:hint="eastAsia"/>
          <w:sz w:val="28"/>
          <w:szCs w:val="28"/>
        </w:rPr>
        <w:t>操作员适任证书、海船三副及以上适任证书</w:t>
      </w:r>
    </w:p>
    <w:p w:rsidR="003D7337" w:rsidRDefault="00E063D3">
      <w:pPr>
        <w:pStyle w:val="2"/>
        <w:spacing w:before="156" w:after="156"/>
      </w:pPr>
      <w:bookmarkStart w:id="25" w:name="_Toc27398"/>
      <w:bookmarkStart w:id="26" w:name="_Toc25762"/>
      <w:bookmarkStart w:id="27" w:name="_Toc10994"/>
      <w:r>
        <w:rPr>
          <w:rFonts w:hint="eastAsia"/>
        </w:rPr>
        <w:t>（三）学生思想品德考核要求</w:t>
      </w:r>
      <w:bookmarkEnd w:id="24"/>
      <w:bookmarkEnd w:id="25"/>
      <w:bookmarkEnd w:id="26"/>
      <w:bookmarkEnd w:id="27"/>
    </w:p>
    <w:p w:rsidR="003D7337" w:rsidRDefault="00E063D3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学生毕业前思想品德考核必须为合格以上，由学生工作处负责考核、鉴定。</w:t>
      </w:r>
    </w:p>
    <w:p w:rsidR="003D7337" w:rsidRDefault="00E063D3">
      <w:pPr>
        <w:pStyle w:val="2"/>
        <w:spacing w:before="156" w:after="156"/>
      </w:pPr>
      <w:bookmarkStart w:id="28" w:name="_Toc10410"/>
      <w:bookmarkStart w:id="29" w:name="_Toc24749"/>
      <w:bookmarkStart w:id="30" w:name="_Toc18842"/>
      <w:bookmarkStart w:id="31" w:name="_Toc2508"/>
      <w:r>
        <w:rPr>
          <w:rFonts w:hint="eastAsia"/>
        </w:rPr>
        <w:t>（四）体制健康测试要求</w:t>
      </w:r>
      <w:bookmarkEnd w:id="28"/>
      <w:bookmarkEnd w:id="29"/>
      <w:bookmarkEnd w:id="30"/>
      <w:bookmarkEnd w:id="31"/>
    </w:p>
    <w:p w:rsidR="003D7337" w:rsidRDefault="00E063D3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lastRenderedPageBreak/>
        <w:t>学生体制健康测试严格执行“国家学生体质健康标准”，毕业前体制健康测试成绩必须达</w:t>
      </w:r>
      <w:r>
        <w:rPr>
          <w:rFonts w:ascii="Times New Roman" w:hint="eastAsia"/>
          <w:sz w:val="28"/>
          <w:szCs w:val="28"/>
        </w:rPr>
        <w:t>50</w:t>
      </w:r>
      <w:r>
        <w:rPr>
          <w:rFonts w:ascii="Times New Roman" w:hint="eastAsia"/>
          <w:sz w:val="28"/>
          <w:szCs w:val="28"/>
        </w:rPr>
        <w:t>分以上。对省级以上体育竞赛比赛获三等奖以上学生，可以免除以上要求。学生因病或残疾可向学校提交免测申请，经医疗单位证明，体育教学部门核准，可以免除以上要求，但须填写《免予执行</w:t>
      </w:r>
      <w:r>
        <w:rPr>
          <w:rFonts w:ascii="Times New Roman" w:hint="eastAsia"/>
          <w:sz w:val="28"/>
          <w:szCs w:val="28"/>
        </w:rPr>
        <w:t>&lt;</w:t>
      </w:r>
      <w:r>
        <w:rPr>
          <w:rFonts w:ascii="Times New Roman" w:hint="eastAsia"/>
          <w:sz w:val="28"/>
          <w:szCs w:val="28"/>
        </w:rPr>
        <w:t>国家学生体质健康标准</w:t>
      </w:r>
      <w:r>
        <w:rPr>
          <w:rFonts w:ascii="Times New Roman" w:hint="eastAsia"/>
          <w:sz w:val="28"/>
          <w:szCs w:val="28"/>
        </w:rPr>
        <w:t>&gt;</w:t>
      </w:r>
      <w:r>
        <w:rPr>
          <w:rFonts w:ascii="Times New Roman" w:hint="eastAsia"/>
          <w:sz w:val="28"/>
          <w:szCs w:val="28"/>
        </w:rPr>
        <w:t>申请表》存入学生档案。</w:t>
      </w:r>
    </w:p>
    <w:p w:rsidR="003D7337" w:rsidRDefault="00E063D3">
      <w:pPr>
        <w:pStyle w:val="2"/>
        <w:spacing w:before="156" w:after="156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二</w:t>
      </w:r>
      <w:r>
        <w:rPr>
          <w:rFonts w:ascii="微软雅黑" w:eastAsia="微软雅黑" w:hAnsi="微软雅黑"/>
          <w:b/>
        </w:rPr>
        <w:t>、</w:t>
      </w:r>
      <w:r>
        <w:rPr>
          <w:rFonts w:ascii="微软雅黑" w:eastAsia="微软雅黑" w:hAnsi="微软雅黑" w:hint="eastAsia"/>
          <w:b/>
        </w:rPr>
        <w:t>转专业录取办法</w:t>
      </w:r>
    </w:p>
    <w:p w:rsidR="003D7337" w:rsidRDefault="00E063D3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（一）</w:t>
      </w:r>
      <w:r>
        <w:rPr>
          <w:rFonts w:ascii="Times New Roman" w:hint="eastAsia"/>
          <w:sz w:val="28"/>
          <w:szCs w:val="28"/>
        </w:rPr>
        <w:t xml:space="preserve"> 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:rsidR="003D7337" w:rsidRDefault="00E063D3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符合《江苏海事职业技术学院学生学籍</w:t>
      </w:r>
      <w:r>
        <w:rPr>
          <w:rFonts w:ascii="Times New Roman"/>
          <w:sz w:val="28"/>
          <w:szCs w:val="28"/>
        </w:rPr>
        <w:t>管理</w:t>
      </w:r>
      <w:r>
        <w:rPr>
          <w:rFonts w:ascii="Times New Roman" w:hint="eastAsia"/>
          <w:sz w:val="28"/>
          <w:szCs w:val="28"/>
        </w:rPr>
        <w:t>学生学籍管理办法》第四章规定的相关学生。</w:t>
      </w:r>
      <w:r w:rsidR="00EB08C3">
        <w:rPr>
          <w:rFonts w:ascii="Times New Roman" w:hint="eastAsia"/>
          <w:sz w:val="28"/>
          <w:szCs w:val="28"/>
        </w:rPr>
        <w:t>申请转入学生</w:t>
      </w:r>
      <w:r>
        <w:rPr>
          <w:rFonts w:ascii="Times New Roman" w:hint="eastAsia"/>
          <w:sz w:val="28"/>
          <w:szCs w:val="28"/>
        </w:rPr>
        <w:t>不得有船员健康检查要求中</w:t>
      </w:r>
      <w:r>
        <w:rPr>
          <w:rFonts w:ascii="Times New Roman"/>
          <w:sz w:val="28"/>
          <w:szCs w:val="28"/>
        </w:rPr>
        <w:t>列明的</w:t>
      </w:r>
      <w:r>
        <w:rPr>
          <w:rFonts w:ascii="Times New Roman" w:hint="eastAsia"/>
          <w:sz w:val="28"/>
          <w:szCs w:val="28"/>
        </w:rPr>
        <w:t>船员职业限制和禁忌症</w:t>
      </w:r>
      <w:r>
        <w:rPr>
          <w:rFonts w:ascii="Times New Roman"/>
          <w:sz w:val="28"/>
          <w:szCs w:val="28"/>
        </w:rPr>
        <w:t>。</w:t>
      </w:r>
    </w:p>
    <w:p w:rsidR="003D7337" w:rsidRDefault="00E063D3">
      <w:pPr>
        <w:adjustRightInd w:val="0"/>
        <w:snapToGrid w:val="0"/>
        <w:spacing w:line="360" w:lineRule="auto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/>
          <w:b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sz w:val="28"/>
          <w:szCs w:val="28"/>
        </w:rPr>
        <w:t>二</w:t>
      </w:r>
      <w:r>
        <w:rPr>
          <w:rFonts w:ascii="微软雅黑" w:eastAsia="微软雅黑" w:hAnsi="微软雅黑"/>
          <w:b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sz w:val="28"/>
          <w:szCs w:val="28"/>
        </w:rPr>
        <w:t>遴选方案</w:t>
      </w:r>
    </w:p>
    <w:bookmarkEnd w:id="15"/>
    <w:bookmarkEnd w:id="16"/>
    <w:bookmarkEnd w:id="17"/>
    <w:bookmarkEnd w:id="18"/>
    <w:bookmarkEnd w:id="19"/>
    <w:p w:rsidR="003D7337" w:rsidRDefault="00E063D3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1.</w:t>
      </w:r>
      <w:r>
        <w:rPr>
          <w:rFonts w:ascii="Times New Roman" w:hint="eastAsia"/>
          <w:sz w:val="28"/>
          <w:szCs w:val="28"/>
        </w:rPr>
        <w:t>学生免试合格后根据平均学分绩点由高到低依次录取；</w:t>
      </w:r>
      <w:r>
        <w:rPr>
          <w:rFonts w:ascii="Times New Roman"/>
          <w:sz w:val="28"/>
          <w:szCs w:val="28"/>
        </w:rPr>
        <w:t>平均学分绩点相同</w:t>
      </w:r>
      <w:r>
        <w:rPr>
          <w:rFonts w:ascii="Times New Roman" w:hint="eastAsia"/>
          <w:sz w:val="28"/>
          <w:szCs w:val="28"/>
        </w:rPr>
        <w:t>时，按班级综合排名先后顺序</w:t>
      </w:r>
      <w:r>
        <w:rPr>
          <w:rFonts w:ascii="Times New Roman"/>
          <w:sz w:val="28"/>
          <w:szCs w:val="28"/>
        </w:rPr>
        <w:t>录取</w:t>
      </w:r>
      <w:r>
        <w:rPr>
          <w:rFonts w:ascii="Times New Roman" w:hint="eastAsia"/>
          <w:sz w:val="28"/>
          <w:szCs w:val="28"/>
        </w:rPr>
        <w:t>。</w:t>
      </w:r>
    </w:p>
    <w:p w:rsidR="003D7337" w:rsidRDefault="00E063D3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2.</w:t>
      </w:r>
      <w:r>
        <w:rPr>
          <w:rFonts w:ascii="Times New Roman" w:hint="eastAsia"/>
          <w:sz w:val="28"/>
          <w:szCs w:val="28"/>
        </w:rPr>
        <w:t>按第一条规定程序录取名单出来后，安排一轮面试确定最终录取名单。面试具体程序和时间由航海技术学院安排，不来参加面试的学生视为放弃本次转专业机会。</w:t>
      </w:r>
    </w:p>
    <w:p w:rsidR="003D7337" w:rsidRDefault="003D7337">
      <w:pPr>
        <w:ind w:firstLineChars="200" w:firstLine="560"/>
        <w:rPr>
          <w:rFonts w:ascii="Times New Roman" w:hAnsi="Times New Roman"/>
          <w:sz w:val="28"/>
          <w:szCs w:val="28"/>
        </w:rPr>
      </w:pPr>
    </w:p>
    <w:sectPr w:rsidR="003D733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4CD" w:rsidRDefault="00F704CD">
      <w:r>
        <w:separator/>
      </w:r>
    </w:p>
  </w:endnote>
  <w:endnote w:type="continuationSeparator" w:id="0">
    <w:p w:rsidR="00F704CD" w:rsidRDefault="00F70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337" w:rsidRDefault="00E063D3">
    <w:pPr>
      <w:pStyle w:val="a6"/>
    </w:pPr>
    <w:r>
      <w:fldChar w:fldCharType="begin"/>
    </w:r>
    <w:r>
      <w:instrText>PAGE</w:instrText>
    </w:r>
    <w:r>
      <w:fldChar w:fldCharType="separate"/>
    </w:r>
    <w:r w:rsidR="005C1BC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4CD" w:rsidRDefault="00F704CD">
      <w:r>
        <w:separator/>
      </w:r>
    </w:p>
  </w:footnote>
  <w:footnote w:type="continuationSeparator" w:id="0">
    <w:p w:rsidR="00F704CD" w:rsidRDefault="00F70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337" w:rsidRDefault="003D7337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5C4A09"/>
    <w:multiLevelType w:val="multilevel"/>
    <w:tmpl w:val="6C5C4A09"/>
    <w:lvl w:ilvl="0">
      <w:start w:val="4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lmNjhiYjE2YTg4MWU1ODgzOGVlZWRiZWRiYzE3YTgifQ=="/>
  </w:docVars>
  <w:rsids>
    <w:rsidRoot w:val="00816F75"/>
    <w:rsid w:val="0000076C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877C9"/>
    <w:rsid w:val="000918CB"/>
    <w:rsid w:val="000956F1"/>
    <w:rsid w:val="000A00CF"/>
    <w:rsid w:val="000A0EB6"/>
    <w:rsid w:val="000A62DC"/>
    <w:rsid w:val="000A6911"/>
    <w:rsid w:val="000B5D50"/>
    <w:rsid w:val="000C125D"/>
    <w:rsid w:val="000C261C"/>
    <w:rsid w:val="000D434A"/>
    <w:rsid w:val="000D4E20"/>
    <w:rsid w:val="000D6896"/>
    <w:rsid w:val="000E7029"/>
    <w:rsid w:val="000F21AB"/>
    <w:rsid w:val="000F4F92"/>
    <w:rsid w:val="000F75CD"/>
    <w:rsid w:val="001104CB"/>
    <w:rsid w:val="00112D75"/>
    <w:rsid w:val="00114BF6"/>
    <w:rsid w:val="00120749"/>
    <w:rsid w:val="0012179F"/>
    <w:rsid w:val="001219A1"/>
    <w:rsid w:val="00122CCE"/>
    <w:rsid w:val="001418BC"/>
    <w:rsid w:val="00160373"/>
    <w:rsid w:val="00160624"/>
    <w:rsid w:val="00163CAB"/>
    <w:rsid w:val="00164FE4"/>
    <w:rsid w:val="00172652"/>
    <w:rsid w:val="00175F7A"/>
    <w:rsid w:val="00176F3A"/>
    <w:rsid w:val="00182CB1"/>
    <w:rsid w:val="00183670"/>
    <w:rsid w:val="00184B7E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1084B"/>
    <w:rsid w:val="00220184"/>
    <w:rsid w:val="00220752"/>
    <w:rsid w:val="002267CC"/>
    <w:rsid w:val="002336A9"/>
    <w:rsid w:val="0024142F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4CDA"/>
    <w:rsid w:val="003B6D63"/>
    <w:rsid w:val="003D0082"/>
    <w:rsid w:val="003D0B78"/>
    <w:rsid w:val="003D4C18"/>
    <w:rsid w:val="003D7337"/>
    <w:rsid w:val="003E363C"/>
    <w:rsid w:val="003E52D1"/>
    <w:rsid w:val="003F0595"/>
    <w:rsid w:val="003F1ABC"/>
    <w:rsid w:val="003F24C1"/>
    <w:rsid w:val="003F3835"/>
    <w:rsid w:val="003F6CC9"/>
    <w:rsid w:val="004019EC"/>
    <w:rsid w:val="00403D68"/>
    <w:rsid w:val="00417170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5A8B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5DB4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1BCE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3751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373EE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07D3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772A6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A7CC2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0CE3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670B"/>
    <w:rsid w:val="00A27FDA"/>
    <w:rsid w:val="00A3218C"/>
    <w:rsid w:val="00A35937"/>
    <w:rsid w:val="00A37D1F"/>
    <w:rsid w:val="00A430E1"/>
    <w:rsid w:val="00A43DA5"/>
    <w:rsid w:val="00A43EEF"/>
    <w:rsid w:val="00A4448C"/>
    <w:rsid w:val="00A52CEC"/>
    <w:rsid w:val="00A52F9F"/>
    <w:rsid w:val="00A6153F"/>
    <w:rsid w:val="00A67D89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66B9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5EE9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6207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710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0B77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D1846"/>
    <w:rsid w:val="00DE7900"/>
    <w:rsid w:val="00DF51C1"/>
    <w:rsid w:val="00DF6AD0"/>
    <w:rsid w:val="00E04245"/>
    <w:rsid w:val="00E063D3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08C3"/>
    <w:rsid w:val="00EB1061"/>
    <w:rsid w:val="00EB1A02"/>
    <w:rsid w:val="00EB1CED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3D6B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04CD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1110"/>
    <w:rsid w:val="00FC3BE4"/>
    <w:rsid w:val="00FD4FA5"/>
    <w:rsid w:val="00FD6043"/>
    <w:rsid w:val="00FE2E5F"/>
    <w:rsid w:val="00FE3F1A"/>
    <w:rsid w:val="00FF13E9"/>
    <w:rsid w:val="00FF21B3"/>
    <w:rsid w:val="00FF4A2F"/>
    <w:rsid w:val="18984928"/>
    <w:rsid w:val="2CEC13A9"/>
    <w:rsid w:val="39E22AE7"/>
    <w:rsid w:val="48340C07"/>
    <w:rsid w:val="63B4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9B66D8F-A444-4076-9C23-B7058E70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 w:qFormat="1"/>
    <w:lsdException w:name="footer" w:uiPriority="0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kern w:val="0"/>
      <w:sz w:val="24"/>
      <w:szCs w:val="20"/>
    </w:rPr>
  </w:style>
  <w:style w:type="paragraph" w:styleId="a4">
    <w:name w:val="Plain Text"/>
    <w:basedOn w:val="a"/>
    <w:link w:val="Char0"/>
    <w:rPr>
      <w:rFonts w:ascii="宋体" w:hAnsi="Courier New" w:cs="Courier New"/>
      <w:iCs/>
      <w:color w:val="000000"/>
      <w:szCs w:val="21"/>
    </w:rPr>
  </w:style>
  <w:style w:type="paragraph" w:styleId="a5">
    <w:name w:val="Balloon Text"/>
    <w:basedOn w:val="a"/>
    <w:link w:val="Char1"/>
    <w:uiPriority w:val="99"/>
    <w:semiHidden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rPr>
      <w:b/>
      <w:bCs/>
      <w:szCs w:val="22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c">
    <w:name w:val="Emphasis"/>
    <w:basedOn w:val="a0"/>
    <w:uiPriority w:val="20"/>
    <w:qFormat/>
    <w:locked/>
    <w:rPr>
      <w:i/>
      <w:iCs/>
    </w:rPr>
  </w:style>
  <w:style w:type="character" w:styleId="ad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e">
    <w:name w:val="annotation reference"/>
    <w:basedOn w:val="a0"/>
    <w:qFormat/>
    <w:rPr>
      <w:rFonts w:cs="Times New Roman"/>
      <w:sz w:val="21"/>
    </w:rPr>
  </w:style>
  <w:style w:type="character" w:customStyle="1" w:styleId="1Char">
    <w:name w:val="标题 1 Char"/>
    <w:basedOn w:val="a0"/>
    <w:link w:val="1"/>
    <w:uiPriority w:val="99"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Char">
    <w:name w:val="标题 2 Char"/>
    <w:basedOn w:val="a0"/>
    <w:link w:val="2"/>
    <w:uiPriority w:val="99"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Char">
    <w:name w:val="标题 3 Char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locked/>
    <w:rPr>
      <w:rFonts w:eastAsia="宋体"/>
      <w:sz w:val="24"/>
    </w:rPr>
  </w:style>
  <w:style w:type="character" w:customStyle="1" w:styleId="Char">
    <w:name w:val="批注文字 Char"/>
    <w:basedOn w:val="a0"/>
    <w:link w:val="a3"/>
    <w:locked/>
    <w:rPr>
      <w:rFonts w:cs="Times New Roman"/>
    </w:rPr>
  </w:style>
  <w:style w:type="character" w:customStyle="1" w:styleId="Char10">
    <w:name w:val="批注文字 Char1"/>
    <w:basedOn w:val="a0"/>
    <w:uiPriority w:val="99"/>
    <w:semiHidden/>
    <w:rPr>
      <w:rFonts w:cs="Times New Roman"/>
    </w:rPr>
  </w:style>
  <w:style w:type="paragraph" w:customStyle="1" w:styleId="CharCharCharChar">
    <w:name w:val="Char Char Char Char"/>
    <w:basedOn w:val="a"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Char1">
    <w:name w:val="批注框文本 Char"/>
    <w:basedOn w:val="a0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Char4">
    <w:name w:val="批注主题 Char"/>
    <w:basedOn w:val="CommentTextChar"/>
    <w:link w:val="a9"/>
    <w:uiPriority w:val="99"/>
    <w:semiHidden/>
    <w:locked/>
    <w:rPr>
      <w:rFonts w:eastAsia="宋体" w:cs="Times New Roman"/>
      <w:b/>
      <w:bCs/>
      <w:sz w:val="24"/>
      <w:szCs w:val="24"/>
    </w:rPr>
  </w:style>
  <w:style w:type="character" w:customStyle="1" w:styleId="Char2">
    <w:name w:val="页脚 Char"/>
    <w:basedOn w:val="a0"/>
    <w:link w:val="a6"/>
    <w:uiPriority w:val="99"/>
    <w:qFormat/>
    <w:locked/>
    <w:rPr>
      <w:rFonts w:cs="Times New Roman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locked/>
    <w:rPr>
      <w:rFonts w:ascii="宋体" w:hAnsi="Courier New" w:cs="Courier New"/>
      <w:sz w:val="21"/>
      <w:szCs w:val="21"/>
    </w:rPr>
  </w:style>
  <w:style w:type="character" w:customStyle="1" w:styleId="Char0">
    <w:name w:val="纯文本 Char"/>
    <w:basedOn w:val="a0"/>
    <w:link w:val="a4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纯文本 字符1"/>
    <w:rPr>
      <w:rFonts w:eastAsia="宋体"/>
    </w:rPr>
  </w:style>
  <w:style w:type="paragraph" w:customStyle="1" w:styleId="11">
    <w:name w:val="样式1"/>
    <w:basedOn w:val="a"/>
    <w:pPr>
      <w:widowControl/>
      <w:jc w:val="left"/>
    </w:pPr>
    <w:rPr>
      <w:rFonts w:ascii="Times New Roman" w:hAnsi="Times New Roman"/>
      <w:kern w:val="0"/>
      <w:sz w:val="24"/>
      <w:szCs w:val="24"/>
      <w:lang w:eastAsia="en-US" w:bidi="en-US"/>
    </w:rPr>
  </w:style>
  <w:style w:type="paragraph" w:customStyle="1" w:styleId="af0">
    <w:name w:val="表格"/>
    <w:basedOn w:val="a"/>
    <w:link w:val="af1"/>
    <w:qFormat/>
    <w:pPr>
      <w:adjustRightInd w:val="0"/>
      <w:snapToGrid w:val="0"/>
      <w:jc w:val="center"/>
    </w:pPr>
    <w:rPr>
      <w:rFonts w:ascii="宋体" w:hAnsi="宋体" w:cstheme="minorBidi"/>
      <w:color w:val="000000" w:themeColor="text1"/>
      <w:szCs w:val="21"/>
    </w:rPr>
  </w:style>
  <w:style w:type="character" w:customStyle="1" w:styleId="af1">
    <w:name w:val="表格 字符"/>
    <w:basedOn w:val="a0"/>
    <w:link w:val="af0"/>
    <w:qFormat/>
    <w:rPr>
      <w:rFonts w:ascii="宋体" w:hAnsi="宋体" w:cstheme="minorBidi"/>
      <w:color w:val="000000" w:themeColor="text1"/>
      <w:kern w:val="2"/>
      <w:sz w:val="21"/>
      <w:szCs w:val="21"/>
    </w:rPr>
  </w:style>
  <w:style w:type="paragraph" w:customStyle="1" w:styleId="af2">
    <w:name w:val="框架内容"/>
    <w:basedOn w:val="a"/>
    <w:qFormat/>
    <w:pPr>
      <w:snapToGrid w:val="0"/>
      <w:spacing w:line="360" w:lineRule="auto"/>
      <w:ind w:firstLine="480"/>
    </w:pPr>
    <w:rPr>
      <w:rFonts w:ascii="宋体" w:hAnsi="宋体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FE44A-1300-4E48-AD4B-C1681DA2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Company>admin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admin</cp:lastModifiedBy>
  <cp:revision>91</cp:revision>
  <dcterms:created xsi:type="dcterms:W3CDTF">2018-09-12T15:17:00Z</dcterms:created>
  <dcterms:modified xsi:type="dcterms:W3CDTF">2023-06-12T04:07:00Z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B91F29064D844BDC912A24F971DF3B16</vt:lpwstr>
  </property>
</Properties>
</file>