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39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大数据与会计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527709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bookmarkStart w:id="28" w:name="_GoBack"/>
      <w:bookmarkEnd w:id="28"/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4606702C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470" w:firstLineChars="196"/>
        <w:textAlignment w:val="auto"/>
        <w:outlineLvl w:val="0"/>
        <w:rPr>
          <w:rFonts w:ascii="黑体" w:hAnsi="黑体" w:eastAsia="黑体"/>
          <w:kern w:val="0"/>
          <w:sz w:val="32"/>
          <w:szCs w:val="32"/>
        </w:rPr>
      </w:pPr>
      <w:bookmarkStart w:id="0" w:name="_Toc396501700"/>
      <w:bookmarkStart w:id="1" w:name="_Toc396497634"/>
      <w:bookmarkStart w:id="2" w:name="_Toc396497324"/>
      <w:bookmarkStart w:id="3" w:name="_Toc396497526"/>
      <w:bookmarkStart w:id="4" w:name="_Toc393236437"/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》制定本办法。</w:t>
      </w:r>
    </w:p>
    <w:p w14:paraId="2CF0433F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ind w:firstLine="627" w:firstLineChars="196"/>
        <w:textAlignment w:val="auto"/>
        <w:outlineLvl w:val="0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专业</w:t>
      </w:r>
      <w:r>
        <w:rPr>
          <w:rFonts w:ascii="黑体" w:hAnsi="黑体" w:eastAsia="黑体"/>
          <w:kern w:val="0"/>
          <w:sz w:val="32"/>
          <w:szCs w:val="32"/>
        </w:rPr>
        <w:t>基本信息</w:t>
      </w:r>
      <w:bookmarkEnd w:id="0"/>
      <w:bookmarkEnd w:id="1"/>
      <w:bookmarkEnd w:id="2"/>
      <w:bookmarkEnd w:id="3"/>
      <w:bookmarkEnd w:id="4"/>
    </w:p>
    <w:p w14:paraId="6B48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ind w:firstLine="560" w:firstLineChars="200"/>
        <w:textAlignment w:val="auto"/>
        <w:outlineLvl w:val="1"/>
        <w:rPr>
          <w:rFonts w:ascii="黑体" w:hAnsi="黑体" w:eastAsia="黑体"/>
          <w:kern w:val="0"/>
          <w:sz w:val="28"/>
          <w:szCs w:val="28"/>
        </w:rPr>
      </w:pPr>
      <w:bookmarkStart w:id="5" w:name="_Toc393236438"/>
      <w:bookmarkStart w:id="6" w:name="_Toc396497325"/>
      <w:bookmarkStart w:id="7" w:name="_Toc396497527"/>
      <w:bookmarkStart w:id="8" w:name="_Toc396501701"/>
      <w:bookmarkStart w:id="9" w:name="_Toc396497635"/>
      <w:r>
        <w:rPr>
          <w:rFonts w:ascii="黑体" w:hAnsi="黑体" w:eastAsia="黑体"/>
          <w:kern w:val="0"/>
          <w:sz w:val="28"/>
          <w:szCs w:val="28"/>
        </w:rPr>
        <w:t>（一）专业名称</w:t>
      </w:r>
      <w:bookmarkEnd w:id="5"/>
      <w:bookmarkEnd w:id="6"/>
      <w:bookmarkEnd w:id="7"/>
      <w:bookmarkEnd w:id="8"/>
      <w:bookmarkEnd w:id="9"/>
    </w:p>
    <w:tbl>
      <w:tblPr>
        <w:tblStyle w:val="12"/>
        <w:tblW w:w="7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370"/>
        <w:gridCol w:w="2735"/>
      </w:tblGrid>
      <w:tr w14:paraId="6D9BD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2363" w:type="dxa"/>
            <w:vAlign w:val="center"/>
          </w:tcPr>
          <w:p w14:paraId="55AD05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宋体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专业名称</w:t>
            </w:r>
          </w:p>
          <w:p w14:paraId="2D271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（代码）</w:t>
            </w:r>
          </w:p>
        </w:tc>
        <w:tc>
          <w:tcPr>
            <w:tcW w:w="2370" w:type="dxa"/>
            <w:vAlign w:val="center"/>
          </w:tcPr>
          <w:p w14:paraId="1451C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所属专业大类</w:t>
            </w:r>
          </w:p>
          <w:p w14:paraId="4644C3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  <w:tc>
          <w:tcPr>
            <w:tcW w:w="2735" w:type="dxa"/>
            <w:vAlign w:val="center"/>
          </w:tcPr>
          <w:p w14:paraId="2EFA6D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所属专业类</w:t>
            </w:r>
          </w:p>
          <w:p w14:paraId="57BF2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</w:tr>
      <w:tr w14:paraId="2370D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363" w:type="dxa"/>
            <w:vAlign w:val="center"/>
          </w:tcPr>
          <w:p w14:paraId="7AB52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大数据与会计</w:t>
            </w:r>
          </w:p>
          <w:p w14:paraId="3CBFC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 w:eastAsia="仿宋_GB2312" w:cs="仿宋_GB2312"/>
                <w:kern w:val="0"/>
                <w:szCs w:val="21"/>
              </w:rPr>
              <w:t>530302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  <w:tc>
          <w:tcPr>
            <w:tcW w:w="2370" w:type="dxa"/>
            <w:vAlign w:val="center"/>
          </w:tcPr>
          <w:p w14:paraId="445E6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财经商贸</w:t>
            </w:r>
          </w:p>
          <w:p w14:paraId="54DD0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（53）</w:t>
            </w:r>
          </w:p>
        </w:tc>
        <w:tc>
          <w:tcPr>
            <w:tcW w:w="2735" w:type="dxa"/>
            <w:vAlign w:val="center"/>
          </w:tcPr>
          <w:p w14:paraId="2CDDA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财务会计</w:t>
            </w:r>
          </w:p>
          <w:p w14:paraId="1B675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（5303）</w:t>
            </w:r>
          </w:p>
        </w:tc>
      </w:tr>
    </w:tbl>
    <w:p w14:paraId="3505E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60" w:firstLineChars="200"/>
        <w:textAlignment w:val="auto"/>
        <w:outlineLvl w:val="1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（二）</w:t>
      </w:r>
      <w:bookmarkStart w:id="10" w:name="_Toc393236440"/>
      <w:bookmarkStart w:id="11" w:name="_Toc396497327"/>
      <w:bookmarkStart w:id="12" w:name="_Toc396497637"/>
      <w:bookmarkStart w:id="13" w:name="_Toc396497529"/>
      <w:bookmarkStart w:id="14" w:name="_Toc396501703"/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专业培养目标</w:t>
      </w:r>
    </w:p>
    <w:p w14:paraId="0AF10D1C">
      <w:pPr>
        <w:keepNext w:val="0"/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0" w:firstLineChars="196"/>
        <w:textAlignment w:val="auto"/>
        <w:outlineLvl w:val="0"/>
        <w:rPr>
          <w:rFonts w:hint="eastAsia" w:cs="Times New Roman" w:asciiTheme="minorEastAsia" w:hAnsiTheme="minorEastAsia" w:eastAsiaTheme="minorEastAsia"/>
          <w:color w:val="auto"/>
          <w:sz w:val="28"/>
          <w:szCs w:val="28"/>
          <w:lang w:eastAsia="zh-CN"/>
        </w:rPr>
      </w:pP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  <w:lang w:val="en-US" w:eastAsia="zh-CN"/>
        </w:rPr>
        <w:t>大数据与会计专业培养学生建立社会主义核心价值观，德、智、体、美、劳全面发展，具有一定的科学文化水平和人文素养，具备职业道德和创新意识，拥有健全人格与健康体魄，掌握财会专业知识和信息技术工具，面向核算会计岗位、涉税处理岗位、共享财务岗位等基础岗位，以及业财融合与大数据分析等分析决策岗位，培养精于会计核算、懂得业务流程、掌握信息技术、能够辅助决策，且具备终身学习意识和可持续发展能力的复合型技术技能会计人才。</w:t>
      </w:r>
    </w:p>
    <w:bookmarkEnd w:id="10"/>
    <w:bookmarkEnd w:id="11"/>
    <w:bookmarkEnd w:id="12"/>
    <w:bookmarkEnd w:id="13"/>
    <w:bookmarkEnd w:id="14"/>
    <w:p w14:paraId="3DA1F3E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48" w:firstLineChars="196"/>
        <w:textAlignment w:val="auto"/>
        <w:outlineLvl w:val="0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bookmarkStart w:id="15" w:name="_Toc396497328"/>
      <w:bookmarkStart w:id="16" w:name="_Toc396497638"/>
      <w:bookmarkStart w:id="17" w:name="_Toc396497530"/>
      <w:bookmarkStart w:id="18" w:name="_Toc396501704"/>
      <w:bookmarkStart w:id="19" w:name="_Toc393236441"/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职业岗位及发展</w:t>
      </w:r>
    </w:p>
    <w:p w14:paraId="48B673D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outlineLvl w:val="0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 xml:space="preserve">    1.面向岗位</w:t>
      </w:r>
    </w:p>
    <w:tbl>
      <w:tblPr>
        <w:tblStyle w:val="13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5"/>
        <w:gridCol w:w="1276"/>
        <w:gridCol w:w="992"/>
        <w:gridCol w:w="1418"/>
        <w:gridCol w:w="1417"/>
        <w:gridCol w:w="1843"/>
      </w:tblGrid>
      <w:tr w14:paraId="03AED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vAlign w:val="center"/>
          </w:tcPr>
          <w:p w14:paraId="523A6801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专业名称</w:t>
            </w:r>
          </w:p>
          <w:p w14:paraId="7A015D2C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0A4CC8D9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所属专业大类（代码）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00A9DBF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所属专业类</w:t>
            </w:r>
          </w:p>
          <w:p w14:paraId="4773E5CF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2B0A1EC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对应行业</w:t>
            </w:r>
          </w:p>
          <w:p w14:paraId="5202D6F3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03403748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主要职业类别</w:t>
            </w:r>
          </w:p>
          <w:p w14:paraId="2BE73E86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7A1ACD7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主要岗位群或技术领域举例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2A2EC9BB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 w14:paraId="1F4D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5" w:type="dxa"/>
            <w:vAlign w:val="center"/>
          </w:tcPr>
          <w:p w14:paraId="520B7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大数据与会计</w:t>
            </w:r>
          </w:p>
          <w:p w14:paraId="541ED5F7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（5</w:t>
            </w:r>
            <w:r>
              <w:rPr>
                <w:color w:val="auto"/>
              </w:rPr>
              <w:t>30302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1AD9064B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财经商贸大类（53）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7079E141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财务会计类（5303）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F010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商务服务业</w:t>
            </w:r>
          </w:p>
          <w:p w14:paraId="7E168BBD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（72）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2A021E0D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会计、审计及税务服务（7241）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76AEE75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出纳</w:t>
            </w:r>
          </w:p>
          <w:p w14:paraId="7E132B80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核算会计</w:t>
            </w:r>
          </w:p>
          <w:p w14:paraId="0CB0D6F5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共享财务</w:t>
            </w:r>
          </w:p>
          <w:p w14:paraId="3BC08B95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业务财务</w:t>
            </w:r>
          </w:p>
          <w:p w14:paraId="6EE76DB3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数据分析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0E2A230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初级会计师、</w:t>
            </w:r>
          </w:p>
          <w:p w14:paraId="31BB7154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1+x财务共享服务职业技能证书、</w:t>
            </w:r>
          </w:p>
          <w:p w14:paraId="62FFFD21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1+x业财一体信息化职业技能证书、</w:t>
            </w:r>
          </w:p>
          <w:p w14:paraId="0B6ADDD6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1+x数字化管理会计职业技能证书</w:t>
            </w:r>
          </w:p>
        </w:tc>
      </w:tr>
      <w:bookmarkEnd w:id="15"/>
      <w:bookmarkEnd w:id="16"/>
      <w:bookmarkEnd w:id="17"/>
      <w:bookmarkEnd w:id="18"/>
      <w:bookmarkEnd w:id="19"/>
    </w:tbl>
    <w:p w14:paraId="4ED3FF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color w:val="auto"/>
          <w:sz w:val="28"/>
          <w:szCs w:val="28"/>
          <w:lang w:val="en-US" w:eastAsia="zh-CN"/>
        </w:rPr>
        <w:t>2.</w:t>
      </w:r>
      <w:r>
        <w:rPr>
          <w:rFonts w:hint="eastAsia" w:ascii="黑体" w:hAnsi="黑体" w:eastAsia="黑体"/>
          <w:kern w:val="0"/>
          <w:sz w:val="28"/>
          <w:szCs w:val="28"/>
        </w:rPr>
        <w:t>职业生涯路径</w:t>
      </w:r>
    </w:p>
    <w:p w14:paraId="1790395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Lines="0" w:afterLines="0"/>
        <w:ind w:firstLine="0" w:firstLineChars="0"/>
        <w:jc w:val="center"/>
        <w:textAlignment w:val="auto"/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29210</wp:posOffset>
                </wp:positionV>
                <wp:extent cx="4774565" cy="1760220"/>
                <wp:effectExtent l="4445" t="4445" r="8890" b="13335"/>
                <wp:wrapNone/>
                <wp:docPr id="1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4565" cy="1760220"/>
                          <a:chOff x="4328" y="24021"/>
                          <a:chExt cx="7519" cy="2772"/>
                        </a:xfrm>
                      </wpg:grpSpPr>
                      <wps:wsp>
                        <wps:cNvPr id="1" name="矩形 2"/>
                        <wps:cNvSpPr/>
                        <wps:spPr>
                          <a:xfrm>
                            <a:off x="7811" y="24465"/>
                            <a:ext cx="1338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FBF862D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财务经理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2" name="矩形 3"/>
                        <wps:cNvSpPr/>
                        <wps:spPr>
                          <a:xfrm>
                            <a:off x="7140" y="24932"/>
                            <a:ext cx="1401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48409CF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财务主管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3" name="矩形 4"/>
                        <wps:cNvSpPr/>
                        <wps:spPr>
                          <a:xfrm>
                            <a:off x="4328" y="26331"/>
                            <a:ext cx="815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22C50DB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出纳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4" name="矩形 5"/>
                        <wps:cNvSpPr/>
                        <wps:spPr>
                          <a:xfrm>
                            <a:off x="4760" y="25869"/>
                            <a:ext cx="1264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A2AAFF7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核算会计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5" name="矩形 6"/>
                        <wps:cNvSpPr/>
                        <wps:spPr>
                          <a:xfrm>
                            <a:off x="6003" y="25872"/>
                            <a:ext cx="1752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FB5230F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共享中心专员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" name="矩形 7"/>
                        <wps:cNvSpPr/>
                        <wps:spPr>
                          <a:xfrm>
                            <a:off x="6494" y="25408"/>
                            <a:ext cx="1763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8C8C409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共享中心主管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" name="矩形 8"/>
                        <wps:cNvSpPr/>
                        <wps:spPr>
                          <a:xfrm>
                            <a:off x="5127" y="25396"/>
                            <a:ext cx="1365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136E271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业务财务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8" name="矩形 9"/>
                        <wps:cNvSpPr/>
                        <wps:spPr>
                          <a:xfrm>
                            <a:off x="10194" y="25857"/>
                            <a:ext cx="1653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E31E87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数据分析专员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9" name="矩形 10"/>
                        <wps:cNvSpPr/>
                        <wps:spPr>
                          <a:xfrm>
                            <a:off x="7814" y="24021"/>
                            <a:ext cx="1339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644FCB1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财务总监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10" name="矩形 11"/>
                        <wps:cNvSpPr/>
                        <wps:spPr>
                          <a:xfrm>
                            <a:off x="9621" y="25397"/>
                            <a:ext cx="1705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095824A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数据分析主管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11" name="矩形 12"/>
                        <wps:cNvSpPr/>
                        <wps:spPr>
                          <a:xfrm>
                            <a:off x="8522" y="24939"/>
                            <a:ext cx="1579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2B73434"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数据分析经理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25.95pt;margin-top:2.3pt;height:138.6pt;width:375.95pt;z-index:251659264;mso-width-relative:page;mso-height-relative:page;" coordorigin="4328,24021" coordsize="7519,2772" o:gfxdata="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Po/66jZAAAACAEA&#10;AA8AAAAAAAAAAQAgAAAAIgAAAGRycy9kb3ducmV2LnhtbFBLAQIUABQAAAAIAIdO4kBOfpQh4QMA&#10;APIdAAAOAAAAAAAAAAEAIAAAACgBAABkcnMvZTJvRG9jLnhtbFBLBQYAAAAABgAGAFkBAAB7BwAA&#10;AAA=&#10;">
                <o:lock v:ext="edit" aspectratio="f"/>
                <v:rect id="矩形 2" o:spid="_x0000_s1026" o:spt="1" style="position:absolute;left:7811;top:24465;height:462;width:1338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FBF862D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财务经理</w:t>
                        </w:r>
                      </w:p>
                    </w:txbxContent>
                  </v:textbox>
                </v:rect>
                <v:rect id="矩形 3" o:spid="_x0000_s1026" o:spt="1" style="position:absolute;left:7140;top:24932;height:462;width:1401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48409CF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财务主管</w:t>
                        </w:r>
                      </w:p>
                    </w:txbxContent>
                  </v:textbox>
                </v:rect>
                <v:rect id="矩形 4" o:spid="_x0000_s1026" o:spt="1" style="position:absolute;left:4328;top:26331;height:462;width:815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22C50DB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出纳</w:t>
                        </w:r>
                      </w:p>
                    </w:txbxContent>
                  </v:textbox>
                </v:rect>
                <v:rect id="矩形 5" o:spid="_x0000_s1026" o:spt="1" style="position:absolute;left:4760;top:25869;height:462;width:1264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A2AAFF7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核算会计</w:t>
                        </w:r>
                      </w:p>
                    </w:txbxContent>
                  </v:textbox>
                </v:rect>
                <v:rect id="矩形 6" o:spid="_x0000_s1026" o:spt="1" style="position:absolute;left:6003;top:25872;height:462;width:1752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FB5230F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共享中心专员</w:t>
                        </w:r>
                      </w:p>
                    </w:txbxContent>
                  </v:textbox>
                </v:rect>
                <v:rect id="矩形 7" o:spid="_x0000_s1026" o:spt="1" style="position:absolute;left:6494;top:25408;height:462;width:1763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8C8C409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共享中心主管</w:t>
                        </w:r>
                      </w:p>
                    </w:txbxContent>
                  </v:textbox>
                </v:rect>
                <v:rect id="矩形 8" o:spid="_x0000_s1026" o:spt="1" style="position:absolute;left:5127;top:25396;height:462;width:1365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136E271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业务财务</w:t>
                        </w:r>
                      </w:p>
                    </w:txbxContent>
                  </v:textbox>
                </v:rect>
                <v:rect id="矩形 9" o:spid="_x0000_s1026" o:spt="1" style="position:absolute;left:10194;top:25857;height:462;width:1653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DE31E87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数据分析专员</w:t>
                        </w:r>
                      </w:p>
                    </w:txbxContent>
                  </v:textbox>
                </v:rect>
                <v:rect id="矩形 10" o:spid="_x0000_s1026" o:spt="1" style="position:absolute;left:7814;top:24021;height:462;width:1339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644FCB1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财务总监</w:t>
                        </w:r>
                      </w:p>
                    </w:txbxContent>
                  </v:textbox>
                </v:rect>
                <v:rect id="矩形 11" o:spid="_x0000_s1026" o:spt="1" style="position:absolute;left:9621;top:25397;height:462;width:1705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095824A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数据分析主管</w:t>
                        </w:r>
                      </w:p>
                    </w:txbxContent>
                  </v:textbox>
                </v:rect>
                <v:rect id="矩形 12" o:spid="_x0000_s1026" o:spt="1" style="position:absolute;left:8522;top:24939;height:462;width:1579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2B73434"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数据分析经理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B6DB7E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Lines="0" w:afterLines="0"/>
        <w:ind w:firstLine="0" w:firstLineChars="0"/>
        <w:jc w:val="center"/>
        <w:textAlignment w:val="auto"/>
      </w:pPr>
    </w:p>
    <w:p w14:paraId="71AA613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Lines="0" w:afterLines="0"/>
        <w:ind w:firstLine="0" w:firstLineChars="0"/>
        <w:jc w:val="center"/>
        <w:textAlignment w:val="auto"/>
      </w:pPr>
    </w:p>
    <w:p w14:paraId="060E425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Lines="0" w:afterLines="0"/>
        <w:ind w:firstLine="0" w:firstLineChars="0"/>
        <w:jc w:val="center"/>
        <w:textAlignment w:val="auto"/>
      </w:pPr>
    </w:p>
    <w:p w14:paraId="2E044BF6"/>
    <w:p w14:paraId="15C90DA7"/>
    <w:p w14:paraId="637BF9B7"/>
    <w:p w14:paraId="43791D26"/>
    <w:p w14:paraId="2AC640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 w:line="360" w:lineRule="auto"/>
        <w:ind w:firstLine="0" w:firstLineChars="0"/>
        <w:textAlignment w:val="auto"/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（四）专业核心课程</w:t>
      </w:r>
    </w:p>
    <w:p w14:paraId="7010D2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财务会计实务、业务财务一体化、税费计算与申报、财务管理、管理会计、成本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核算与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管理、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Excel在财务中的应用、python财务应用、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财务共享服务会计实训、业财一体信息化应用实训等。</w:t>
      </w:r>
    </w:p>
    <w:p w14:paraId="50B4F3A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7" w:beforeLines="50" w:afterLines="0"/>
        <w:ind w:firstLine="0" w:firstLineChars="0"/>
        <w:textAlignment w:val="auto"/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（五）毕业资格条件</w:t>
      </w:r>
    </w:p>
    <w:p w14:paraId="7E3720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/>
        <w:jc w:val="left"/>
        <w:textAlignment w:val="auto"/>
      </w:pPr>
      <w:r>
        <w:rPr>
          <w:rFonts w:hint="eastAsia" w:ascii="Times New Roman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 1.</w:t>
      </w: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毕业学分要求 </w:t>
      </w:r>
    </w:p>
    <w:p w14:paraId="79D89D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0" w:name="_Hlk46264673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为保证学生素质的全面提升，学生毕业共须修满1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学分，其中通识必修课应修满4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学分，通识选修课修满1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学分（通识限选课修满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学分, 通识任选课修满4学分）；专业必修课修满3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.5学分，</w:t>
      </w:r>
      <w:bookmarkStart w:id="21" w:name="_Hlk147649081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专业限选课修满1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.5学分</w:t>
      </w:r>
      <w:bookmarkEnd w:id="21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；素质拓展与社会实践课程修满8学分，综合实践课程修满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</w:t>
      </w:r>
      <w:bookmarkEnd w:id="20"/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。各类课程学分可根据《江苏海院学分积累、转换和认定办法》予以认定。</w:t>
      </w:r>
    </w:p>
    <w:p w14:paraId="6068D9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（二）外语等级考试要求 </w:t>
      </w:r>
    </w:p>
    <w:p w14:paraId="4EDBA1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2" w:name="_Hlk46264697"/>
      <w:r>
        <w:rPr>
          <w:rFonts w:hint="eastAsia" w:asciiTheme="minorEastAsia" w:hAnsiTheme="minorEastAsia" w:eastAsiaTheme="minorEastAsia" w:cstheme="minorEastAsia"/>
          <w:sz w:val="24"/>
          <w:szCs w:val="24"/>
        </w:rPr>
        <w:t>获得江苏省高校英语应用能力B级证书，或取得英语A级50分及以上成绩。</w:t>
      </w:r>
      <w:bookmarkEnd w:id="22"/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学生参加大学英语四级考试取得425分及以上成绩，可以申请免修《高职英语》第二学期课程；参加大学英语四级考试取得500分及以上成绩，可以申请免修《英语四级强化》课程。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 w14:paraId="3D8323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（三）职业技能或职业资格证书要求 </w:t>
      </w:r>
    </w:p>
    <w:p w14:paraId="7E73F8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cs="宋体"/>
          <w:color w:val="auto"/>
          <w:kern w:val="0"/>
        </w:rPr>
        <w:t>职业资格证书和职业技能证书不作为学生毕业条件，建议学生取得初级会计师证书、初级管理会计师，或者国家教育部认可的1+X职业技能等级证书。</w:t>
      </w: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</w:p>
    <w:p w14:paraId="04BB7F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（四）学生思想品德考核要求 </w:t>
      </w:r>
    </w:p>
    <w:p w14:paraId="6E2155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根据《职业技术学院学生操行积分管理办法》对学生进行德育素质考核，考核结果合格及以上。 </w:t>
      </w:r>
    </w:p>
    <w:p w14:paraId="7439D6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（五）体质健康测试要求 </w:t>
      </w:r>
    </w:p>
    <w:p w14:paraId="550802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学生体制健康测试严格执行“国家学生体质健康标准”，毕业前体制健康测 </w:t>
      </w:r>
    </w:p>
    <w:p w14:paraId="152C65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试成绩必须达 </w:t>
      </w:r>
      <w:r>
        <w:rPr>
          <w:rFonts w:hint="default" w:ascii="Times New Roman" w:hAnsi="Times New Roman"/>
          <w:sz w:val="24"/>
          <w:lang w:val="en-US" w:eastAsia="zh-CN"/>
        </w:rPr>
        <w:t xml:space="preserve">50 </w:t>
      </w:r>
      <w:r>
        <w:rPr>
          <w:rFonts w:hint="eastAsia" w:ascii="Times New Roman" w:hAnsi="Times New Roman"/>
          <w:sz w:val="24"/>
          <w:lang w:val="en-US" w:eastAsia="zh-CN"/>
        </w:rPr>
        <w:t xml:space="preserve">分以上。对省级以上体育竞赛比赛获三等奖以上学生，可以免 </w:t>
      </w:r>
    </w:p>
    <w:p w14:paraId="3DA25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除以上要求。学生因病或残疾可向学校提交免测申请，经医疗单位证明，体育教 </w:t>
      </w:r>
    </w:p>
    <w:p w14:paraId="48BC7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>学部门核准，可以免除以上要求，但须填写《免予执行</w:t>
      </w:r>
      <w:r>
        <w:rPr>
          <w:rFonts w:hint="default" w:ascii="Times New Roman" w:hAnsi="Times New Roman"/>
          <w:sz w:val="24"/>
          <w:lang w:val="en-US" w:eastAsia="zh-CN"/>
        </w:rPr>
        <w:t>&lt;</w:t>
      </w:r>
      <w:r>
        <w:rPr>
          <w:rFonts w:hint="eastAsia" w:ascii="Times New Roman" w:hAnsi="Times New Roman"/>
          <w:sz w:val="24"/>
          <w:lang w:val="en-US" w:eastAsia="zh-CN"/>
        </w:rPr>
        <w:t>国家学生体质健康标准</w:t>
      </w:r>
      <w:r>
        <w:rPr>
          <w:rFonts w:hint="default" w:ascii="Times New Roman" w:hAnsi="Times New Roman"/>
          <w:sz w:val="24"/>
          <w:lang w:val="en-US" w:eastAsia="zh-CN"/>
        </w:rPr>
        <w:t xml:space="preserve">&gt; </w:t>
      </w:r>
    </w:p>
    <w:p w14:paraId="2CEE6E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申请表》存入学生档案。 </w:t>
      </w:r>
    </w:p>
    <w:p w14:paraId="609F34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/>
        <w:ind w:firstLine="0" w:firstLineChars="0"/>
        <w:textAlignment w:val="auto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3" w:name="_Toc396497636"/>
      <w:bookmarkStart w:id="24" w:name="_Toc396501702"/>
      <w:bookmarkStart w:id="25" w:name="_Toc396497326"/>
      <w:bookmarkStart w:id="26" w:name="_Toc393236439"/>
      <w:bookmarkStart w:id="27" w:name="_Toc396497528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1B3779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/>
        <w:ind w:firstLine="0" w:firstLineChars="0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（一）可接受转专业学生计划数</w:t>
      </w:r>
    </w:p>
    <w:p w14:paraId="54A82C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中职起点：22</w:t>
      </w:r>
    </w:p>
    <w:p w14:paraId="3F67F1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/>
        <w:ind w:firstLine="0" w:firstLineChars="0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（二）接受对象</w:t>
      </w:r>
    </w:p>
    <w:p w14:paraId="0479A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符合《江苏海事职业技术学院学生转专业管理办法（修订案）》遴选方案规定的相关学生。</w:t>
      </w:r>
    </w:p>
    <w:p w14:paraId="0969DE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/>
        <w:ind w:firstLine="0" w:firstLineChars="0"/>
        <w:textAlignment w:val="auto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（三）遴选方案</w:t>
      </w:r>
    </w:p>
    <w:bookmarkEnd w:id="23"/>
    <w:bookmarkEnd w:id="24"/>
    <w:bookmarkEnd w:id="25"/>
    <w:bookmarkEnd w:id="26"/>
    <w:bookmarkEnd w:id="27"/>
    <w:p w14:paraId="5466C9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转入学生需对会计专业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感</w:t>
      </w:r>
      <w:r>
        <w:rPr>
          <w:rFonts w:hint="eastAsia" w:ascii="Times New Roman" w:hAnsi="Times New Roman"/>
          <w:sz w:val="24"/>
          <w:szCs w:val="24"/>
        </w:rPr>
        <w:t>兴趣，同时需满足以下条件：</w:t>
      </w:r>
    </w:p>
    <w:p w14:paraId="06CC18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（1）在校学习期间，无处分记录。</w:t>
      </w:r>
    </w:p>
    <w:p w14:paraId="4AEA82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（2）当申请学生数大于可录取数时，以当前学期平均学分绩点排名为序，择优录取。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E8579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864AA"/>
    <w:multiLevelType w:val="singleLevel"/>
    <w:tmpl w:val="179864A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1C0D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63F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0C81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4F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C39F7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0E0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411AE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1D64"/>
    <w:rsid w:val="00E91A17"/>
    <w:rsid w:val="00EA1533"/>
    <w:rsid w:val="00EA343B"/>
    <w:rsid w:val="00EA7CBA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0F8E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628FD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24A1A44"/>
    <w:rsid w:val="03164E01"/>
    <w:rsid w:val="0A2A7C45"/>
    <w:rsid w:val="165E53D8"/>
    <w:rsid w:val="26A7553A"/>
    <w:rsid w:val="278C4817"/>
    <w:rsid w:val="286033FE"/>
    <w:rsid w:val="3304683D"/>
    <w:rsid w:val="3709455A"/>
    <w:rsid w:val="39E22AE7"/>
    <w:rsid w:val="3C746492"/>
    <w:rsid w:val="448F3298"/>
    <w:rsid w:val="466C02E6"/>
    <w:rsid w:val="48340C07"/>
    <w:rsid w:val="4B3D238E"/>
    <w:rsid w:val="561029B7"/>
    <w:rsid w:val="63B45DF5"/>
    <w:rsid w:val="7A814AAA"/>
    <w:rsid w:val="7F26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1478</Words>
  <Characters>1546</Characters>
  <Lines>12</Lines>
  <Paragraphs>3</Paragraphs>
  <TotalTime>3</TotalTime>
  <ScaleCrop>false</ScaleCrop>
  <LinksUpToDate>false</LinksUpToDate>
  <CharactersWithSpaces>1568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dcterms:modified xsi:type="dcterms:W3CDTF">2024-12-20T08:13:48Z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A19E7465DE644C11AF3719BA268232E4_13</vt:lpwstr>
  </property>
</Properties>
</file>