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船舶电子电气</w:t>
      </w:r>
      <w:r>
        <w:rPr>
          <w:rFonts w:ascii="微软雅黑" w:hAnsi="微软雅黑" w:eastAsia="微软雅黑"/>
          <w:b/>
          <w:sz w:val="36"/>
          <w:szCs w:val="36"/>
        </w:rPr>
        <w:t>技术专业</w:t>
      </w:r>
      <w:r>
        <w:rPr>
          <w:rFonts w:hint="eastAsia" w:ascii="微软雅黑" w:hAnsi="微软雅黑" w:eastAsia="微软雅黑"/>
          <w:b/>
          <w:sz w:val="36"/>
          <w:szCs w:val="36"/>
        </w:rPr>
        <w:t>转专业录取办法</w:t>
      </w:r>
    </w:p>
    <w:p>
      <w:pPr>
        <w:pStyle w:val="2"/>
        <w:spacing w:before="312" w:after="312" w:line="360" w:lineRule="auto"/>
        <w:ind w:firstLine="480" w:firstLineChars="200"/>
        <w:rPr>
          <w:rFonts w:ascii="Times New Roman" w:hAnsi="Times New Roman" w:eastAsia="宋体"/>
          <w:sz w:val="24"/>
          <w:szCs w:val="24"/>
        </w:rPr>
      </w:pPr>
      <w:bookmarkStart w:id="0" w:name="_Toc396497526"/>
      <w:bookmarkStart w:id="1" w:name="_Toc393236437"/>
      <w:bookmarkStart w:id="2" w:name="_Toc396497324"/>
      <w:bookmarkStart w:id="3" w:name="_Toc396501700"/>
      <w:bookmarkStart w:id="4" w:name="_Toc396497634"/>
      <w:r>
        <w:rPr>
          <w:rFonts w:hint="eastAsia" w:ascii="Times New Roman" w:hAnsi="Times New Roman" w:eastAsia="宋体"/>
          <w:sz w:val="24"/>
          <w:szCs w:val="24"/>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pPr>
        <w:pStyle w:val="2"/>
        <w:spacing w:before="312" w:after="312"/>
      </w:pPr>
      <w:r>
        <w:t>一、基本信息</w:t>
      </w:r>
    </w:p>
    <w:p>
      <w:pPr>
        <w:pStyle w:val="3"/>
        <w:spacing w:before="156" w:after="156"/>
      </w:pPr>
      <w:r>
        <w:t>（一）专业名称</w:t>
      </w:r>
    </w:p>
    <w:p>
      <w:pPr>
        <w:widowControl/>
        <w:spacing w:line="360" w:lineRule="auto"/>
        <w:ind w:firstLine="480" w:firstLineChars="200"/>
        <w:rPr>
          <w:color w:val="000000"/>
          <w:sz w:val="24"/>
        </w:rPr>
      </w:pPr>
      <w:r>
        <w:rPr>
          <w:rFonts w:hint="eastAsia"/>
          <w:color w:val="000000"/>
          <w:sz w:val="24"/>
        </w:rPr>
        <w:t xml:space="preserve">船舶电子电气技术专业 </w:t>
      </w:r>
      <w:r>
        <w:rPr>
          <w:color w:val="000000"/>
          <w:sz w:val="24"/>
        </w:rPr>
        <w:t xml:space="preserve">  专业代码</w:t>
      </w:r>
      <w:r>
        <w:rPr>
          <w:rFonts w:hint="eastAsia"/>
          <w:color w:val="000000"/>
          <w:sz w:val="24"/>
        </w:rPr>
        <w:t xml:space="preserve"> </w:t>
      </w:r>
      <w:r>
        <w:rPr>
          <w:color w:val="000000"/>
          <w:sz w:val="24"/>
        </w:rPr>
        <w:t xml:space="preserve"> </w:t>
      </w:r>
      <w:r>
        <w:rPr>
          <w:rFonts w:hint="eastAsia"/>
          <w:color w:val="000000"/>
          <w:sz w:val="24"/>
        </w:rPr>
        <w:t>500308</w:t>
      </w:r>
      <w:r>
        <w:rPr>
          <w:color w:val="000000"/>
          <w:sz w:val="24"/>
        </w:rPr>
        <w:t xml:space="preserve">  </w:t>
      </w:r>
    </w:p>
    <w:p>
      <w:pPr>
        <w:pStyle w:val="3"/>
        <w:spacing w:before="156" w:after="156"/>
      </w:pPr>
      <w:bookmarkStart w:id="5" w:name="_Toc396497330"/>
      <w:bookmarkStart w:id="6" w:name="_Toc396497640"/>
      <w:bookmarkStart w:id="7" w:name="_Toc396501706"/>
      <w:bookmarkStart w:id="8" w:name="_Toc393236443"/>
      <w:bookmarkStart w:id="9" w:name="_Toc396497532"/>
      <w:r>
        <w:t>（</w:t>
      </w:r>
      <w:r>
        <w:rPr>
          <w:rFonts w:hint="eastAsia"/>
        </w:rPr>
        <w:t>二</w:t>
      </w:r>
      <w:r>
        <w:t>）</w:t>
      </w:r>
      <w:r>
        <w:rPr>
          <w:rFonts w:hint="eastAsia"/>
        </w:rPr>
        <w:t>人才</w:t>
      </w:r>
      <w:r>
        <w:t>培养目标</w:t>
      </w:r>
      <w:bookmarkEnd w:id="5"/>
      <w:bookmarkEnd w:id="6"/>
      <w:bookmarkEnd w:id="7"/>
      <w:bookmarkEnd w:id="8"/>
      <w:bookmarkEnd w:id="9"/>
    </w:p>
    <w:p>
      <w:pPr>
        <w:pStyle w:val="2"/>
        <w:spacing w:before="312" w:after="312"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rPr>
        <w:t>船舶电子电气技术专业：培养为社会主义现代化建设服务，有社会责任感和敬业精神、规范意识和创新思维、进取精神和沟通合作能力，具备信息技术应用能力和终身学习能力，主要面向船舶和海洋运输行业的企（事）业单位，满足国际海事组织STCW国际公约中规定的“电气、电子和控制工程”、“维护和修理”和“船舶操作控制和船上人员管理”等职能要求，能够胜任现代船舶电子电气装置的管理、维护和修理任务，又能够从事船舶电子电气工程领域的技术支持等工作的高素质技能型人才。</w:t>
      </w:r>
      <w:bookmarkStart w:id="10" w:name="_Toc396497534"/>
      <w:bookmarkStart w:id="11" w:name="_Toc396501708"/>
      <w:bookmarkStart w:id="12" w:name="_Toc396497332"/>
      <w:bookmarkStart w:id="13" w:name="_Toc393236445"/>
      <w:bookmarkStart w:id="14" w:name="_Toc396497642"/>
    </w:p>
    <w:p>
      <w:pPr>
        <w:pStyle w:val="3"/>
        <w:spacing w:before="156" w:after="156"/>
      </w:pPr>
      <w:r>
        <w:rPr>
          <w:rFonts w:hint="eastAsia"/>
        </w:rPr>
        <w:t>（三）职业</w:t>
      </w:r>
      <w:bookmarkEnd w:id="10"/>
      <w:bookmarkEnd w:id="11"/>
      <w:bookmarkEnd w:id="12"/>
      <w:bookmarkEnd w:id="13"/>
      <w:bookmarkEnd w:id="14"/>
      <w:r>
        <w:rPr>
          <w:rFonts w:hint="eastAsia"/>
        </w:rPr>
        <w:t>岗位及发展</w:t>
      </w:r>
    </w:p>
    <w:p>
      <w:pPr>
        <w:pStyle w:val="3"/>
        <w:spacing w:before="156" w:after="156"/>
      </w:pPr>
      <w:r>
        <w:rPr>
          <w:rFonts w:hint="eastAsia"/>
        </w:rPr>
        <w:t>1.面向岗位</w:t>
      </w:r>
    </w:p>
    <w:p>
      <w:pPr>
        <w:adjustRightInd w:val="0"/>
        <w:spacing w:line="360" w:lineRule="auto"/>
        <w:ind w:firstLine="480" w:firstLineChars="200"/>
        <w:rPr>
          <w:rFonts w:ascii="宋体" w:hAnsi="宋体"/>
          <w:sz w:val="24"/>
          <w:szCs w:val="24"/>
        </w:rPr>
      </w:pPr>
      <w:r>
        <w:rPr>
          <w:rFonts w:hint="eastAsia" w:ascii="宋体" w:hAnsi="宋体"/>
          <w:sz w:val="24"/>
          <w:szCs w:val="24"/>
        </w:rPr>
        <w:t>毕业生就业走向工作岗位后，先是从实习生做起，然后是电子技工、电子电气员，或者</w:t>
      </w:r>
      <w:r>
        <w:rPr>
          <w:rFonts w:ascii="宋体" w:hAnsi="宋体"/>
          <w:sz w:val="24"/>
          <w:szCs w:val="24"/>
        </w:rPr>
        <w:t>进入船舶电气设备</w:t>
      </w:r>
      <w:r>
        <w:rPr>
          <w:rFonts w:hint="eastAsia" w:ascii="宋体" w:hAnsi="宋体"/>
          <w:sz w:val="24"/>
          <w:szCs w:val="24"/>
        </w:rPr>
        <w:t>企业和</w:t>
      </w:r>
      <w:r>
        <w:rPr>
          <w:rFonts w:ascii="宋体" w:hAnsi="宋体"/>
          <w:sz w:val="24"/>
          <w:szCs w:val="24"/>
        </w:rPr>
        <w:t>船舶修造</w:t>
      </w:r>
      <w:r>
        <w:rPr>
          <w:rFonts w:hint="eastAsia" w:ascii="宋体" w:hAnsi="宋体"/>
          <w:sz w:val="24"/>
          <w:szCs w:val="24"/>
        </w:rPr>
        <w:t>企业</w:t>
      </w:r>
      <w:r>
        <w:rPr>
          <w:rFonts w:ascii="宋体" w:hAnsi="宋体"/>
          <w:sz w:val="24"/>
          <w:szCs w:val="24"/>
        </w:rPr>
        <w:t>从事船舶电气</w:t>
      </w:r>
      <w:r>
        <w:rPr>
          <w:rFonts w:hint="eastAsia" w:ascii="宋体" w:hAnsi="宋体"/>
          <w:sz w:val="24"/>
          <w:szCs w:val="24"/>
        </w:rPr>
        <w:t>设备</w:t>
      </w:r>
      <w:r>
        <w:rPr>
          <w:rFonts w:ascii="宋体" w:hAnsi="宋体"/>
          <w:sz w:val="24"/>
          <w:szCs w:val="24"/>
        </w:rPr>
        <w:t>调试技术工作</w:t>
      </w:r>
      <w:r>
        <w:rPr>
          <w:rFonts w:hint="eastAsia" w:ascii="宋体" w:hAnsi="宋体"/>
          <w:sz w:val="24"/>
          <w:szCs w:val="24"/>
        </w:rPr>
        <w:t>。</w:t>
      </w:r>
    </w:p>
    <w:p>
      <w:pPr>
        <w:widowControl/>
        <w:jc w:val="left"/>
        <w:rPr>
          <w:rFonts w:ascii="宋体" w:hAnsi="宋体"/>
          <w:sz w:val="24"/>
          <w:szCs w:val="24"/>
        </w:rPr>
      </w:pPr>
      <w:r>
        <w:rPr>
          <w:rFonts w:ascii="宋体" w:hAnsi="宋体"/>
          <w:sz w:val="24"/>
          <w:szCs w:val="24"/>
        </w:rPr>
        <w:br w:type="page"/>
      </w:r>
    </w:p>
    <w:p>
      <w:pPr>
        <w:adjustRightInd w:val="0"/>
        <w:spacing w:line="360" w:lineRule="auto"/>
        <w:ind w:firstLine="480" w:firstLineChars="200"/>
        <w:rPr>
          <w:rFonts w:ascii="宋体" w:hAnsi="宋体"/>
          <w:sz w:val="24"/>
          <w:szCs w:val="24"/>
        </w:rPr>
      </w:pPr>
    </w:p>
    <w:tbl>
      <w:tblPr>
        <w:tblStyle w:val="12"/>
        <w:tblW w:w="93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559"/>
        <w:gridCol w:w="1843"/>
        <w:gridCol w:w="1559"/>
        <w:gridCol w:w="992"/>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60" w:type="dxa"/>
            <w:vMerge w:val="restart"/>
            <w:tcBorders>
              <w:top w:val="single" w:color="auto" w:sz="4" w:space="0"/>
              <w:left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r>
              <w:rPr>
                <w:rFonts w:ascii="Times New Roman" w:hAnsi="Times New Roman"/>
                <w:sz w:val="24"/>
                <w:szCs w:val="24"/>
              </w:rPr>
              <w:br w:type="page"/>
            </w:r>
            <w:r>
              <w:rPr>
                <w:rFonts w:hint="eastAsia" w:ascii="Times New Roman" w:hAnsi="Times New Roman"/>
                <w:b/>
                <w:sz w:val="22"/>
                <w:szCs w:val="24"/>
              </w:rPr>
              <w:t>专业名称</w:t>
            </w:r>
          </w:p>
        </w:tc>
        <w:tc>
          <w:tcPr>
            <w:tcW w:w="1559" w:type="dxa"/>
            <w:vMerge w:val="restart"/>
            <w:tcBorders>
              <w:top w:val="single" w:color="auto" w:sz="4" w:space="0"/>
              <w:left w:val="nil"/>
              <w:right w:val="single" w:color="auto" w:sz="4" w:space="0"/>
            </w:tcBorders>
            <w:vAlign w:val="center"/>
          </w:tcPr>
          <w:p>
            <w:pPr>
              <w:adjustRightInd w:val="0"/>
              <w:spacing w:line="360" w:lineRule="auto"/>
              <w:jc w:val="center"/>
              <w:textAlignment w:val="baseline"/>
              <w:rPr>
                <w:rFonts w:ascii="宋体" w:hAnsi="宋体"/>
                <w:b/>
                <w:bCs/>
                <w:szCs w:val="21"/>
              </w:rPr>
            </w:pPr>
            <w:r>
              <w:rPr>
                <w:rFonts w:hint="eastAsia" w:ascii="宋体" w:hAnsi="宋体"/>
                <w:b/>
                <w:bCs/>
                <w:szCs w:val="21"/>
              </w:rPr>
              <w:t>专业方向</w:t>
            </w:r>
          </w:p>
        </w:tc>
        <w:tc>
          <w:tcPr>
            <w:tcW w:w="1843" w:type="dxa"/>
            <w:vMerge w:val="restart"/>
            <w:tcBorders>
              <w:top w:val="single" w:color="auto" w:sz="4" w:space="0"/>
              <w:left w:val="nil"/>
              <w:right w:val="single" w:color="auto" w:sz="4" w:space="0"/>
            </w:tcBorders>
            <w:vAlign w:val="center"/>
          </w:tcPr>
          <w:p>
            <w:pPr>
              <w:adjustRightInd w:val="0"/>
              <w:spacing w:line="360" w:lineRule="auto"/>
              <w:jc w:val="center"/>
              <w:textAlignment w:val="baseline"/>
              <w:rPr>
                <w:rFonts w:ascii="宋体" w:hAnsi="宋体"/>
                <w:b/>
                <w:bCs/>
                <w:szCs w:val="21"/>
              </w:rPr>
            </w:pPr>
            <w:r>
              <w:rPr>
                <w:rFonts w:hint="eastAsia" w:ascii="宋体" w:hAnsi="宋体"/>
                <w:b/>
                <w:bCs/>
                <w:szCs w:val="21"/>
              </w:rPr>
              <w:t>职业岗位</w:t>
            </w:r>
          </w:p>
        </w:tc>
        <w:tc>
          <w:tcPr>
            <w:tcW w:w="4394" w:type="dxa"/>
            <w:gridSpan w:val="3"/>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r>
              <w:rPr>
                <w:rFonts w:hint="eastAsia" w:asciiTheme="minorEastAsia" w:hAnsiTheme="minorEastAsia"/>
                <w:b/>
                <w:bCs/>
                <w:szCs w:val="21"/>
              </w:rPr>
              <w:t>职业技能等级证书、行业标准或证书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560" w:type="dxa"/>
            <w:vMerge w:val="continue"/>
            <w:tcBorders>
              <w:left w:val="single" w:color="auto" w:sz="4" w:space="0"/>
              <w:bottom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p>
        </w:tc>
        <w:tc>
          <w:tcPr>
            <w:tcW w:w="1559" w:type="dxa"/>
            <w:vMerge w:val="continue"/>
            <w:tcBorders>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p>
        </w:tc>
        <w:tc>
          <w:tcPr>
            <w:tcW w:w="1843" w:type="dxa"/>
            <w:vMerge w:val="continue"/>
            <w:tcBorders>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p>
        </w:tc>
        <w:tc>
          <w:tcPr>
            <w:tcW w:w="1559"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r>
              <w:rPr>
                <w:rFonts w:hint="eastAsia" w:ascii="宋体" w:hAnsi="宋体"/>
                <w:b/>
                <w:bCs/>
                <w:szCs w:val="21"/>
              </w:rPr>
              <w:t>证书名称</w:t>
            </w:r>
          </w:p>
        </w:tc>
        <w:tc>
          <w:tcPr>
            <w:tcW w:w="992"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r>
              <w:rPr>
                <w:rFonts w:hint="eastAsia" w:ascii="宋体" w:hAnsi="宋体"/>
                <w:b/>
                <w:bCs/>
                <w:szCs w:val="21"/>
              </w:rPr>
              <w:t>等级</w:t>
            </w: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b/>
                <w:bCs/>
                <w:szCs w:val="21"/>
              </w:rPr>
            </w:pPr>
            <w:r>
              <w:rPr>
                <w:rFonts w:hint="eastAsia" w:ascii="宋体" w:hAnsi="宋体"/>
                <w:b/>
                <w:bCs/>
                <w:szCs w:val="21"/>
              </w:rPr>
              <w:t>颁证单位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single" w:color="auto" w:sz="4" w:space="0"/>
              <w:left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船舶电子电气技术</w:t>
            </w:r>
          </w:p>
        </w:tc>
        <w:tc>
          <w:tcPr>
            <w:tcW w:w="1559" w:type="dxa"/>
            <w:vMerge w:val="restart"/>
            <w:tcBorders>
              <w:top w:val="single" w:color="auto" w:sz="4" w:space="0"/>
              <w:left w:val="nil"/>
              <w:right w:val="single" w:color="auto" w:sz="4" w:space="0"/>
            </w:tcBorders>
            <w:tcMar>
              <w:left w:w="0" w:type="dxa"/>
              <w:right w:w="0" w:type="dxa"/>
            </w:tcMar>
            <w:vAlign w:val="center"/>
          </w:tcPr>
          <w:p>
            <w:pPr>
              <w:adjustRightInd w:val="0"/>
              <w:spacing w:line="360" w:lineRule="auto"/>
              <w:textAlignment w:val="baseline"/>
              <w:rPr>
                <w:rFonts w:ascii="宋体" w:hAnsi="宋体"/>
                <w:szCs w:val="21"/>
              </w:rPr>
            </w:pPr>
            <w:r>
              <w:rPr>
                <w:rFonts w:hint="eastAsia" w:ascii="宋体" w:hAnsi="宋体"/>
                <w:szCs w:val="21"/>
              </w:rPr>
              <w:t>船舶电子电气技术</w:t>
            </w: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电子技工</w:t>
            </w:r>
          </w:p>
        </w:tc>
        <w:tc>
          <w:tcPr>
            <w:tcW w:w="1559"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电子技工适任证书</w:t>
            </w:r>
          </w:p>
        </w:tc>
        <w:tc>
          <w:tcPr>
            <w:tcW w:w="992"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750KW以上</w:t>
            </w: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中华</w:t>
            </w:r>
            <w:r>
              <w:rPr>
                <w:rFonts w:ascii="宋体" w:hAnsi="宋体"/>
                <w:szCs w:val="21"/>
              </w:rPr>
              <w:t>人民共和国</w:t>
            </w:r>
            <w:r>
              <w:rPr>
                <w:rFonts w:hint="eastAsia" w:ascii="宋体" w:hAnsi="宋体"/>
                <w:szCs w:val="21"/>
              </w:rPr>
              <w:t>海事局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p>
        </w:tc>
        <w:tc>
          <w:tcPr>
            <w:tcW w:w="1559" w:type="dxa"/>
            <w:vMerge w:val="continue"/>
            <w:tcBorders>
              <w:left w:val="nil"/>
              <w:right w:val="single" w:color="auto" w:sz="4" w:space="0"/>
            </w:tcBorders>
            <w:vAlign w:val="center"/>
          </w:tcPr>
          <w:p>
            <w:pPr>
              <w:adjustRightInd w:val="0"/>
              <w:spacing w:line="360" w:lineRule="auto"/>
              <w:jc w:val="center"/>
              <w:textAlignment w:val="baseline"/>
              <w:rPr>
                <w:rFonts w:ascii="宋体" w:hAnsi="宋体"/>
                <w:szCs w:val="21"/>
              </w:rPr>
            </w:pP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电子</w:t>
            </w:r>
            <w:r>
              <w:rPr>
                <w:rFonts w:ascii="宋体" w:hAnsi="宋体"/>
                <w:szCs w:val="21"/>
              </w:rPr>
              <w:t>电气员</w:t>
            </w:r>
          </w:p>
        </w:tc>
        <w:tc>
          <w:tcPr>
            <w:tcW w:w="1559"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电子电气员适任证书</w:t>
            </w:r>
          </w:p>
        </w:tc>
        <w:tc>
          <w:tcPr>
            <w:tcW w:w="992"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750KW以上</w:t>
            </w: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中华人民共和国海事局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p>
        </w:tc>
        <w:tc>
          <w:tcPr>
            <w:tcW w:w="1559" w:type="dxa"/>
            <w:vMerge w:val="continue"/>
            <w:tcBorders>
              <w:left w:val="nil"/>
              <w:right w:val="single" w:color="auto" w:sz="4" w:space="0"/>
            </w:tcBorders>
            <w:tcMar>
              <w:left w:w="28" w:type="dxa"/>
              <w:right w:w="28" w:type="dxa"/>
            </w:tcMar>
            <w:vAlign w:val="center"/>
          </w:tcPr>
          <w:p>
            <w:pPr>
              <w:adjustRightInd w:val="0"/>
              <w:spacing w:line="360" w:lineRule="auto"/>
              <w:jc w:val="center"/>
              <w:textAlignment w:val="baseline"/>
              <w:rPr>
                <w:rFonts w:ascii="宋体" w:hAnsi="宋体"/>
                <w:szCs w:val="21"/>
              </w:rPr>
            </w:pP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船舶</w:t>
            </w:r>
            <w:r>
              <w:rPr>
                <w:rFonts w:ascii="宋体" w:hAnsi="宋体"/>
                <w:szCs w:val="21"/>
              </w:rPr>
              <w:t>电气</w:t>
            </w:r>
            <w:r>
              <w:rPr>
                <w:rFonts w:hint="eastAsia" w:ascii="宋体" w:hAnsi="宋体"/>
                <w:szCs w:val="21"/>
              </w:rPr>
              <w:t>设备调试</w:t>
            </w:r>
            <w:r>
              <w:rPr>
                <w:rFonts w:ascii="宋体" w:hAnsi="宋体"/>
                <w:szCs w:val="21"/>
              </w:rPr>
              <w:t>技术员</w:t>
            </w:r>
          </w:p>
        </w:tc>
        <w:tc>
          <w:tcPr>
            <w:tcW w:w="1559"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ascii="宋体" w:hAnsi="宋体"/>
                <w:szCs w:val="21"/>
              </w:rPr>
              <w:t>电工</w:t>
            </w:r>
          </w:p>
        </w:tc>
        <w:tc>
          <w:tcPr>
            <w:tcW w:w="992"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中级</w:t>
            </w: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江苏省职业技能鉴定中心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p>
        </w:tc>
        <w:tc>
          <w:tcPr>
            <w:tcW w:w="1559" w:type="dxa"/>
            <w:vMerge w:val="continue"/>
            <w:tcBorders>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船舶</w:t>
            </w:r>
            <w:r>
              <w:rPr>
                <w:rFonts w:ascii="宋体" w:hAnsi="宋体"/>
                <w:szCs w:val="21"/>
              </w:rPr>
              <w:t>电气</w:t>
            </w:r>
            <w:r>
              <w:rPr>
                <w:rFonts w:hint="eastAsia" w:ascii="宋体" w:hAnsi="宋体"/>
                <w:szCs w:val="21"/>
              </w:rPr>
              <w:t>设备服务工程师</w:t>
            </w:r>
          </w:p>
        </w:tc>
        <w:tc>
          <w:tcPr>
            <w:tcW w:w="1559"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ascii="宋体" w:hAnsi="宋体"/>
                <w:szCs w:val="21"/>
              </w:rPr>
              <w:t>电工</w:t>
            </w:r>
          </w:p>
        </w:tc>
        <w:tc>
          <w:tcPr>
            <w:tcW w:w="992"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中级</w:t>
            </w:r>
          </w:p>
        </w:tc>
        <w:tc>
          <w:tcPr>
            <w:tcW w:w="1843" w:type="dxa"/>
            <w:tcBorders>
              <w:top w:val="single" w:color="auto" w:sz="4" w:space="0"/>
              <w:left w:val="nil"/>
              <w:bottom w:val="single" w:color="auto" w:sz="4" w:space="0"/>
              <w:right w:val="single" w:color="auto" w:sz="4" w:space="0"/>
            </w:tcBorders>
            <w:vAlign w:val="center"/>
          </w:tcPr>
          <w:p>
            <w:pPr>
              <w:adjustRightInd w:val="0"/>
              <w:spacing w:line="360" w:lineRule="auto"/>
              <w:jc w:val="center"/>
              <w:textAlignment w:val="baseline"/>
              <w:rPr>
                <w:rFonts w:ascii="宋体" w:hAnsi="宋体"/>
                <w:szCs w:val="21"/>
              </w:rPr>
            </w:pPr>
            <w:r>
              <w:rPr>
                <w:rFonts w:hint="eastAsia" w:ascii="宋体" w:hAnsi="宋体"/>
                <w:szCs w:val="21"/>
              </w:rPr>
              <w:t>江苏省职业技能鉴定中心</w:t>
            </w:r>
          </w:p>
        </w:tc>
      </w:tr>
    </w:tbl>
    <w:p/>
    <w:p>
      <w:pPr>
        <w:pStyle w:val="3"/>
        <w:spacing w:before="156" w:after="156"/>
      </w:pPr>
      <w:r>
        <w:rPr>
          <w:rFonts w:hint="eastAsia"/>
        </w:rPr>
        <w:t>2.职业生涯路径</w:t>
      </w:r>
    </w:p>
    <w:p>
      <w:pPr>
        <w:adjustRightInd w:val="0"/>
        <w:spacing w:line="360" w:lineRule="auto"/>
        <w:ind w:firstLine="480" w:firstLineChars="200"/>
        <w:rPr>
          <w:rFonts w:ascii="Times New Roman" w:hAnsi="Times New Roman"/>
          <w:sz w:val="24"/>
          <w:szCs w:val="24"/>
        </w:rPr>
      </w:pPr>
      <w:r>
        <w:rPr>
          <w:rFonts w:hint="eastAsia" w:ascii="Times New Roman" w:hAnsi="Times New Roman"/>
          <w:sz w:val="24"/>
          <w:szCs w:val="24"/>
        </w:rPr>
        <w:t>当毕业生毕业后可从事船舶电子技工、船舶电子电气员工作或在船用电气设备厂以及修、造船厂从事船舶电气设备的调试、质检、售后服务等工作，工作到一定时间，具备一定经验和能力时，可以到航运企业岸基部门从事安全技术电气主管等工作；还可以担任船舶电气设备制造企业及船舶修造企业电气主管。经过自己的努力和学习也可以成长为验船师、海事评估师或者海事主管机关的海事执法人员。</w:t>
      </w:r>
    </w:p>
    <w:bookmarkEnd w:id="0"/>
    <w:bookmarkEnd w:id="1"/>
    <w:bookmarkEnd w:id="2"/>
    <w:bookmarkEnd w:id="3"/>
    <w:bookmarkEnd w:id="4"/>
    <w:p>
      <w:pPr>
        <w:pStyle w:val="3"/>
        <w:spacing w:before="156" w:after="156"/>
      </w:pPr>
      <w:r>
        <w:rPr>
          <w:rFonts w:hint="eastAsia"/>
        </w:rPr>
        <w:t>（四）专业核心课程</w:t>
      </w:r>
    </w:p>
    <w:p>
      <w:pPr>
        <w:adjustRightInd w:val="0"/>
        <w:spacing w:line="360" w:lineRule="auto"/>
        <w:ind w:firstLine="480" w:firstLineChars="200"/>
        <w:rPr>
          <w:rFonts w:ascii="Times New Roman" w:hAnsi="Times New Roman"/>
          <w:sz w:val="24"/>
          <w:szCs w:val="24"/>
        </w:rPr>
      </w:pPr>
      <w:r>
        <w:rPr>
          <w:rFonts w:hint="eastAsia" w:ascii="Times New Roman" w:hAnsi="Times New Roman"/>
          <w:sz w:val="24"/>
          <w:szCs w:val="24"/>
        </w:rPr>
        <w:t>P</w:t>
      </w:r>
      <w:r>
        <w:rPr>
          <w:rFonts w:ascii="Times New Roman" w:hAnsi="Times New Roman"/>
          <w:sz w:val="24"/>
          <w:szCs w:val="24"/>
        </w:rPr>
        <w:t>LC</w:t>
      </w:r>
      <w:r>
        <w:rPr>
          <w:rFonts w:hint="eastAsia" w:ascii="Times New Roman" w:hAnsi="Times New Roman"/>
          <w:sz w:val="24"/>
          <w:szCs w:val="24"/>
        </w:rPr>
        <w:t>应用技术、单片机应用技术、船舶电力拖动管理与维护、船舶计算机网络维护管理、船舶通信导航设备维护管理、船舶机舱自动化、船舶管理、船舶电子电气员专业英语等。</w:t>
      </w:r>
    </w:p>
    <w:p>
      <w:pPr>
        <w:keepNext/>
        <w:keepLines/>
        <w:tabs>
          <w:tab w:val="left" w:pos="720"/>
        </w:tabs>
        <w:spacing w:before="312" w:after="312"/>
        <w:ind w:firstLine="320" w:firstLineChars="100"/>
        <w:outlineLvl w:val="0"/>
        <w:rPr>
          <w:rFonts w:ascii="Times New Roman" w:hAnsi="Times New Roman" w:eastAsia="黑体"/>
          <w:bCs/>
          <w:kern w:val="32"/>
          <w:sz w:val="32"/>
          <w:szCs w:val="32"/>
          <w:lang w:bidi="en-US"/>
        </w:rPr>
      </w:pPr>
      <w:r>
        <w:rPr>
          <w:rFonts w:hint="eastAsia" w:ascii="Times New Roman" w:hAnsi="Times New Roman" w:eastAsia="黑体"/>
          <w:bCs/>
          <w:kern w:val="32"/>
          <w:sz w:val="32"/>
          <w:szCs w:val="32"/>
          <w:lang w:bidi="en-US"/>
        </w:rPr>
        <w:t>（五）毕业资格条件</w:t>
      </w:r>
    </w:p>
    <w:p>
      <w:pPr>
        <w:adjustRightInd w:val="0"/>
        <w:snapToGrid w:val="0"/>
        <w:spacing w:before="156" w:beforeLines="50" w:after="156" w:afterLines="50"/>
        <w:ind w:firstLine="560" w:firstLineChars="200"/>
        <w:outlineLvl w:val="1"/>
        <w:rPr>
          <w:rFonts w:ascii="黑体" w:hAnsi="黑体" w:eastAsia="黑体"/>
          <w:sz w:val="28"/>
          <w:szCs w:val="28"/>
        </w:rPr>
      </w:pPr>
      <w:bookmarkStart w:id="15" w:name="_Toc104834490"/>
      <w:r>
        <w:rPr>
          <w:rFonts w:hint="eastAsia" w:ascii="黑体" w:hAnsi="黑体" w:eastAsia="黑体"/>
          <w:sz w:val="28"/>
          <w:szCs w:val="28"/>
        </w:rPr>
        <w:t>1</w:t>
      </w:r>
      <w:r>
        <w:rPr>
          <w:rFonts w:ascii="黑体" w:hAnsi="黑体" w:eastAsia="黑体"/>
          <w:sz w:val="28"/>
          <w:szCs w:val="28"/>
        </w:rPr>
        <w:t>.</w:t>
      </w:r>
      <w:r>
        <w:rPr>
          <w:rFonts w:hint="eastAsia" w:ascii="黑体" w:hAnsi="黑体" w:eastAsia="黑体"/>
          <w:sz w:val="28"/>
          <w:szCs w:val="28"/>
        </w:rPr>
        <w:t>毕业学分要求</w:t>
      </w:r>
      <w:bookmarkEnd w:id="15"/>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学生共须修满</w:t>
      </w:r>
      <w:r>
        <w:rPr>
          <w:rFonts w:ascii="宋体" w:hAnsi="宋体"/>
          <w:sz w:val="24"/>
          <w:szCs w:val="24"/>
        </w:rPr>
        <w:t>172</w:t>
      </w:r>
      <w:r>
        <w:rPr>
          <w:rFonts w:hint="eastAsia" w:ascii="宋体" w:hAnsi="宋体"/>
          <w:sz w:val="24"/>
          <w:szCs w:val="24"/>
        </w:rPr>
        <w:t>学分，其中通识必修课应修满</w:t>
      </w:r>
      <w:r>
        <w:rPr>
          <w:rFonts w:ascii="宋体" w:hAnsi="宋体"/>
          <w:sz w:val="24"/>
          <w:szCs w:val="24"/>
        </w:rPr>
        <w:t>35.5</w:t>
      </w:r>
      <w:r>
        <w:rPr>
          <w:rFonts w:hint="eastAsia" w:ascii="宋体" w:hAnsi="宋体"/>
          <w:sz w:val="24"/>
          <w:szCs w:val="24"/>
        </w:rPr>
        <w:t>学分，通识限选课修满</w:t>
      </w:r>
      <w:r>
        <w:rPr>
          <w:rFonts w:ascii="宋体" w:hAnsi="宋体"/>
          <w:sz w:val="24"/>
          <w:szCs w:val="24"/>
        </w:rPr>
        <w:t>5</w:t>
      </w:r>
      <w:r>
        <w:rPr>
          <w:rFonts w:hint="eastAsia" w:ascii="宋体" w:hAnsi="宋体"/>
          <w:sz w:val="24"/>
          <w:szCs w:val="24"/>
        </w:rPr>
        <w:t>学分, 通识任选课修满</w:t>
      </w:r>
      <w:r>
        <w:rPr>
          <w:rFonts w:ascii="宋体" w:hAnsi="宋体"/>
          <w:sz w:val="24"/>
          <w:szCs w:val="24"/>
        </w:rPr>
        <w:t>4</w:t>
      </w:r>
      <w:r>
        <w:rPr>
          <w:rFonts w:hint="eastAsia" w:ascii="宋体" w:hAnsi="宋体"/>
          <w:sz w:val="24"/>
          <w:szCs w:val="24"/>
        </w:rPr>
        <w:t>学分；专业必修课修满</w:t>
      </w:r>
      <w:r>
        <w:rPr>
          <w:rFonts w:ascii="宋体" w:hAnsi="宋体"/>
          <w:color w:val="FF0000"/>
          <w:sz w:val="24"/>
          <w:szCs w:val="24"/>
        </w:rPr>
        <w:t>70</w:t>
      </w:r>
      <w:r>
        <w:rPr>
          <w:rFonts w:hint="eastAsia" w:ascii="宋体" w:hAnsi="宋体"/>
          <w:sz w:val="24"/>
          <w:szCs w:val="24"/>
        </w:rPr>
        <w:t>分，专业限选课至少修满</w:t>
      </w:r>
      <w:r>
        <w:rPr>
          <w:rFonts w:ascii="宋体" w:hAnsi="宋体"/>
          <w:sz w:val="24"/>
          <w:szCs w:val="24"/>
        </w:rPr>
        <w:t>2</w:t>
      </w:r>
      <w:r>
        <w:rPr>
          <w:rFonts w:hint="eastAsia" w:ascii="宋体" w:hAnsi="宋体"/>
          <w:sz w:val="24"/>
          <w:szCs w:val="24"/>
        </w:rPr>
        <w:t>.5学分,专业任选课至少修满2学分，综合实践修满</w:t>
      </w:r>
      <w:r>
        <w:rPr>
          <w:rFonts w:ascii="宋体" w:hAnsi="宋体"/>
          <w:sz w:val="24"/>
          <w:szCs w:val="24"/>
        </w:rPr>
        <w:t>34</w:t>
      </w:r>
      <w:r>
        <w:rPr>
          <w:rFonts w:hint="eastAsia" w:ascii="宋体" w:hAnsi="宋体"/>
          <w:sz w:val="24"/>
          <w:szCs w:val="24"/>
        </w:rPr>
        <w:t>学分；素质拓展与社会实践课程修满</w:t>
      </w:r>
      <w:r>
        <w:rPr>
          <w:rFonts w:ascii="宋体" w:hAnsi="宋体"/>
          <w:sz w:val="24"/>
          <w:szCs w:val="24"/>
        </w:rPr>
        <w:t>8</w:t>
      </w:r>
      <w:r>
        <w:rPr>
          <w:rFonts w:hint="eastAsia" w:ascii="宋体" w:hAnsi="宋体"/>
          <w:sz w:val="24"/>
          <w:szCs w:val="24"/>
        </w:rPr>
        <w:t>学分，个性拓展模块课程修满</w:t>
      </w:r>
      <w:r>
        <w:rPr>
          <w:rFonts w:ascii="宋体" w:hAnsi="宋体"/>
          <w:sz w:val="24"/>
          <w:szCs w:val="24"/>
        </w:rPr>
        <w:t>11</w:t>
      </w:r>
      <w:r>
        <w:rPr>
          <w:rFonts w:hint="eastAsia" w:ascii="宋体" w:hAnsi="宋体"/>
          <w:sz w:val="24"/>
          <w:szCs w:val="24"/>
        </w:rPr>
        <w:t xml:space="preserve">学分。各类课程学分可根据《江苏海院学分积累、转换和认定办法》予以认定。 </w:t>
      </w:r>
    </w:p>
    <w:p>
      <w:pPr>
        <w:adjustRightInd w:val="0"/>
        <w:snapToGrid w:val="0"/>
        <w:spacing w:before="156" w:beforeLines="50" w:after="156" w:afterLines="50"/>
        <w:ind w:firstLine="560" w:firstLineChars="200"/>
        <w:outlineLvl w:val="1"/>
        <w:rPr>
          <w:rFonts w:ascii="黑体" w:hAnsi="黑体" w:eastAsia="黑体"/>
          <w:sz w:val="28"/>
          <w:szCs w:val="28"/>
        </w:rPr>
      </w:pPr>
      <w:bookmarkStart w:id="16" w:name="_Toc104834491"/>
      <w:r>
        <w:rPr>
          <w:rFonts w:hint="eastAsia" w:ascii="黑体" w:hAnsi="黑体" w:eastAsia="黑体"/>
          <w:sz w:val="28"/>
          <w:szCs w:val="28"/>
        </w:rPr>
        <w:t>2</w:t>
      </w:r>
      <w:r>
        <w:rPr>
          <w:rFonts w:ascii="黑体" w:hAnsi="黑体" w:eastAsia="黑体"/>
          <w:sz w:val="28"/>
          <w:szCs w:val="28"/>
        </w:rPr>
        <w:t>.</w:t>
      </w:r>
      <w:r>
        <w:rPr>
          <w:rFonts w:hint="eastAsia" w:ascii="黑体" w:hAnsi="黑体" w:eastAsia="黑体"/>
          <w:sz w:val="28"/>
          <w:szCs w:val="28"/>
        </w:rPr>
        <w:t>计算机证书要求</w:t>
      </w:r>
      <w:bookmarkEnd w:id="16"/>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本专业不对计算机证书做毕业资格要求，信息技术类课程实现课证融通，学生考取全国计算机ATA证书或江苏省计算机等级考试一级证书可申请信息技术类课程免修，直接置换对应学分。</w:t>
      </w:r>
    </w:p>
    <w:p>
      <w:pPr>
        <w:adjustRightInd w:val="0"/>
        <w:snapToGrid w:val="0"/>
        <w:spacing w:before="156" w:beforeLines="50" w:after="156" w:afterLines="50"/>
        <w:ind w:firstLine="560" w:firstLineChars="200"/>
        <w:outlineLvl w:val="1"/>
        <w:rPr>
          <w:rFonts w:ascii="黑体" w:hAnsi="黑体" w:eastAsia="黑体"/>
          <w:sz w:val="28"/>
          <w:szCs w:val="28"/>
        </w:rPr>
      </w:pPr>
      <w:bookmarkStart w:id="17" w:name="_Toc104834492"/>
      <w:r>
        <w:rPr>
          <w:rFonts w:hint="eastAsia" w:ascii="黑体" w:hAnsi="黑体" w:eastAsia="黑体"/>
          <w:sz w:val="28"/>
          <w:szCs w:val="28"/>
        </w:rPr>
        <w:t>3</w:t>
      </w:r>
      <w:r>
        <w:rPr>
          <w:rFonts w:ascii="黑体" w:hAnsi="黑体" w:eastAsia="黑体"/>
          <w:sz w:val="28"/>
          <w:szCs w:val="28"/>
        </w:rPr>
        <w:t>.</w:t>
      </w:r>
      <w:r>
        <w:rPr>
          <w:rFonts w:hint="eastAsia" w:ascii="黑体" w:hAnsi="黑体" w:eastAsia="黑体"/>
          <w:sz w:val="28"/>
          <w:szCs w:val="28"/>
        </w:rPr>
        <w:t>外语等级考试要求</w:t>
      </w:r>
      <w:bookmarkEnd w:id="17"/>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本专业不对外语等级证书做毕业资格要求，为鼓励学生考取英语等级证书，对考取英语等级证书的学生，可以用证书置换高职英语课程学分，成绩认定为</w:t>
      </w:r>
      <w:r>
        <w:rPr>
          <w:rFonts w:ascii="宋体" w:hAnsi="宋体"/>
          <w:sz w:val="24"/>
          <w:szCs w:val="24"/>
        </w:rPr>
        <w:t>85分（A级或口语）、90分（四级）或95分（六级），也可申请课程免修。</w:t>
      </w:r>
    </w:p>
    <w:p>
      <w:pPr>
        <w:adjustRightInd w:val="0"/>
        <w:snapToGrid w:val="0"/>
        <w:spacing w:before="156" w:beforeLines="50" w:after="156" w:afterLines="50" w:line="360" w:lineRule="exact"/>
        <w:ind w:firstLine="560" w:firstLineChars="200"/>
        <w:outlineLvl w:val="1"/>
        <w:rPr>
          <w:rFonts w:ascii="Times New Roman" w:hAnsi="Times New Roman" w:eastAsia="黑体"/>
          <w:sz w:val="28"/>
          <w:szCs w:val="28"/>
        </w:rPr>
      </w:pPr>
      <w:r>
        <w:rPr>
          <w:rFonts w:ascii="Times New Roman" w:hAnsi="Times New Roman" w:eastAsia="黑体"/>
          <w:sz w:val="28"/>
          <w:szCs w:val="28"/>
        </w:rPr>
        <w:t>4</w:t>
      </w:r>
      <w:r>
        <w:rPr>
          <w:rFonts w:hint="eastAsia" w:ascii="Times New Roman" w:hAnsi="Times New Roman" w:eastAsia="黑体"/>
          <w:sz w:val="28"/>
          <w:szCs w:val="28"/>
        </w:rPr>
        <w:t>.职业资格证书要求</w:t>
      </w:r>
    </w:p>
    <w:tbl>
      <w:tblPr>
        <w:tblStyle w:val="12"/>
        <w:tblW w:w="6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1088"/>
        <w:gridCol w:w="2289"/>
        <w:gridCol w:w="1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660" w:type="dxa"/>
            <w:vAlign w:val="center"/>
          </w:tcPr>
          <w:p>
            <w:pPr>
              <w:jc w:val="center"/>
              <w:rPr>
                <w:rFonts w:ascii="Times New Roman" w:hAnsi="Times New Roman"/>
                <w:b/>
                <w:bCs/>
              </w:rPr>
            </w:pPr>
            <w:r>
              <w:rPr>
                <w:rFonts w:ascii="Times New Roman" w:hAnsi="Times New Roman"/>
                <w:b/>
                <w:bCs/>
              </w:rPr>
              <w:t>名  称</w:t>
            </w:r>
          </w:p>
        </w:tc>
        <w:tc>
          <w:tcPr>
            <w:tcW w:w="1088" w:type="dxa"/>
            <w:vAlign w:val="center"/>
          </w:tcPr>
          <w:p>
            <w:pPr>
              <w:jc w:val="center"/>
              <w:rPr>
                <w:rFonts w:ascii="Times New Roman" w:hAnsi="Times New Roman"/>
                <w:b/>
                <w:bCs/>
              </w:rPr>
            </w:pPr>
            <w:r>
              <w:rPr>
                <w:rFonts w:ascii="Times New Roman" w:hAnsi="Times New Roman"/>
                <w:b/>
                <w:bCs/>
              </w:rPr>
              <w:t>等级</w:t>
            </w:r>
          </w:p>
        </w:tc>
        <w:tc>
          <w:tcPr>
            <w:tcW w:w="2289" w:type="dxa"/>
            <w:vAlign w:val="center"/>
          </w:tcPr>
          <w:p>
            <w:pPr>
              <w:jc w:val="center"/>
              <w:rPr>
                <w:rFonts w:ascii="Times New Roman" w:hAnsi="Times New Roman"/>
                <w:b/>
                <w:bCs/>
              </w:rPr>
            </w:pPr>
            <w:r>
              <w:rPr>
                <w:rFonts w:ascii="Times New Roman" w:hAnsi="Times New Roman"/>
                <w:b/>
                <w:bCs/>
              </w:rPr>
              <w:t>颁证单位</w:t>
            </w:r>
          </w:p>
        </w:tc>
        <w:tc>
          <w:tcPr>
            <w:tcW w:w="1868" w:type="dxa"/>
            <w:vAlign w:val="center"/>
          </w:tcPr>
          <w:p>
            <w:pPr>
              <w:jc w:val="center"/>
              <w:rPr>
                <w:rFonts w:ascii="Times New Roman" w:hAnsi="Times New Roman"/>
                <w:b/>
                <w:bCs/>
              </w:rPr>
            </w:pPr>
            <w:r>
              <w:rPr>
                <w:rFonts w:ascii="Times New Roman" w:hAnsi="Times New Roman"/>
                <w:b/>
                <w:bCs/>
              </w:rPr>
              <w:t>性质</w:t>
            </w:r>
          </w:p>
          <w:p>
            <w:pPr>
              <w:jc w:val="center"/>
              <w:rPr>
                <w:rFonts w:ascii="Times New Roman" w:hAnsi="Times New Roman"/>
                <w:b/>
                <w:bCs/>
              </w:rPr>
            </w:pPr>
            <w:r>
              <w:rPr>
                <w:rFonts w:ascii="Times New Roman" w:hAnsi="Times New Roman"/>
                <w:b/>
                <w:bCs/>
              </w:rPr>
              <w:t>（必考/选考）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660" w:type="dxa"/>
            <w:vAlign w:val="center"/>
          </w:tcPr>
          <w:p>
            <w:pPr>
              <w:adjustRightInd w:val="0"/>
              <w:jc w:val="center"/>
              <w:rPr>
                <w:rFonts w:ascii="Times New Roman" w:hAnsi="Times New Roman"/>
              </w:rPr>
            </w:pPr>
            <w:r>
              <w:rPr>
                <w:rFonts w:hint="eastAsia" w:ascii="Times New Roman" w:hAnsi="Times New Roman"/>
              </w:rPr>
              <w:t>海船船员培训合格证书</w:t>
            </w:r>
          </w:p>
        </w:tc>
        <w:tc>
          <w:tcPr>
            <w:tcW w:w="1088" w:type="dxa"/>
            <w:vAlign w:val="center"/>
          </w:tcPr>
          <w:p>
            <w:pPr>
              <w:jc w:val="center"/>
              <w:rPr>
                <w:rFonts w:ascii="Times New Roman" w:hAnsi="Times New Roman"/>
              </w:rPr>
            </w:pPr>
          </w:p>
        </w:tc>
        <w:tc>
          <w:tcPr>
            <w:tcW w:w="2289" w:type="dxa"/>
            <w:vAlign w:val="center"/>
          </w:tcPr>
          <w:p>
            <w:pPr>
              <w:adjustRightInd w:val="0"/>
              <w:snapToGrid w:val="0"/>
              <w:jc w:val="center"/>
              <w:rPr>
                <w:rFonts w:ascii="Times New Roman" w:hAnsi="Times New Roman"/>
              </w:rPr>
            </w:pPr>
            <w:r>
              <w:rPr>
                <w:rFonts w:hint="eastAsia" w:ascii="Times New Roman" w:hAnsi="Times New Roman"/>
              </w:rPr>
              <w:t>江苏海事局</w:t>
            </w:r>
          </w:p>
        </w:tc>
        <w:tc>
          <w:tcPr>
            <w:tcW w:w="1868" w:type="dxa"/>
            <w:vAlign w:val="center"/>
          </w:tcPr>
          <w:p>
            <w:pPr>
              <w:adjustRightInd w:val="0"/>
              <w:snapToGrid w:val="0"/>
              <w:jc w:val="center"/>
              <w:rPr>
                <w:rFonts w:ascii="Times New Roman" w:hAnsi="Times New Roman"/>
              </w:rPr>
            </w:pPr>
            <w:r>
              <w:rPr>
                <w:rFonts w:hint="eastAsia" w:ascii="Times New Roman" w:hAnsi="Times New Roman"/>
              </w:rPr>
              <w:t>从事船员职业必考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660" w:type="dxa"/>
            <w:vAlign w:val="center"/>
          </w:tcPr>
          <w:p>
            <w:pPr>
              <w:adjustRightInd w:val="0"/>
              <w:jc w:val="center"/>
              <w:rPr>
                <w:rFonts w:ascii="Times New Roman" w:hAnsi="Times New Roman"/>
              </w:rPr>
            </w:pPr>
            <w:r>
              <w:rPr>
                <w:rFonts w:hint="eastAsia" w:ascii="Times New Roman" w:hAnsi="Times New Roman"/>
              </w:rPr>
              <w:t>电子电气员适任证书</w:t>
            </w:r>
          </w:p>
        </w:tc>
        <w:tc>
          <w:tcPr>
            <w:tcW w:w="1088" w:type="dxa"/>
            <w:vAlign w:val="center"/>
          </w:tcPr>
          <w:p>
            <w:pPr>
              <w:jc w:val="center"/>
              <w:rPr>
                <w:rFonts w:ascii="Times New Roman" w:hAnsi="Times New Roman"/>
              </w:rPr>
            </w:pPr>
            <w:r>
              <w:rPr>
                <w:rFonts w:hint="eastAsia" w:ascii="Times New Roman" w:hAnsi="Times New Roman"/>
              </w:rPr>
              <w:t>750KW及以上</w:t>
            </w:r>
          </w:p>
        </w:tc>
        <w:tc>
          <w:tcPr>
            <w:tcW w:w="2289" w:type="dxa"/>
            <w:vAlign w:val="center"/>
          </w:tcPr>
          <w:p>
            <w:pPr>
              <w:adjustRightInd w:val="0"/>
              <w:snapToGrid w:val="0"/>
              <w:jc w:val="center"/>
              <w:rPr>
                <w:rFonts w:ascii="Times New Roman" w:hAnsi="Times New Roman"/>
              </w:rPr>
            </w:pPr>
            <w:r>
              <w:rPr>
                <w:rFonts w:hint="eastAsia" w:ascii="Times New Roman" w:hAnsi="Times New Roman"/>
              </w:rPr>
              <w:t>江苏海事局</w:t>
            </w:r>
          </w:p>
        </w:tc>
        <w:tc>
          <w:tcPr>
            <w:tcW w:w="1868" w:type="dxa"/>
            <w:vMerge w:val="restart"/>
            <w:vAlign w:val="center"/>
          </w:tcPr>
          <w:p>
            <w:pPr>
              <w:adjustRightInd w:val="0"/>
              <w:snapToGrid w:val="0"/>
              <w:jc w:val="center"/>
              <w:rPr>
                <w:rFonts w:ascii="Times New Roman" w:hAnsi="Times New Roman"/>
              </w:rPr>
            </w:pPr>
            <w:r>
              <w:rPr>
                <w:rFonts w:hint="eastAsia" w:ascii="Times New Roman" w:hAnsi="Times New Roman"/>
              </w:rPr>
              <w:t>从事船员职业</w:t>
            </w:r>
          </w:p>
          <w:p>
            <w:pPr>
              <w:adjustRightInd w:val="0"/>
              <w:snapToGrid w:val="0"/>
              <w:ind w:firstLine="308" w:firstLineChars="147"/>
              <w:jc w:val="center"/>
              <w:rPr>
                <w:rFonts w:ascii="Times New Roman" w:hAnsi="Times New Roman"/>
              </w:rPr>
            </w:pPr>
            <w:r>
              <w:rPr>
                <w:rFonts w:hint="eastAsia" w:ascii="Times New Roman" w:hAnsi="Times New Roman"/>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660" w:type="dxa"/>
            <w:vAlign w:val="center"/>
          </w:tcPr>
          <w:p>
            <w:pPr>
              <w:adjustRightInd w:val="0"/>
              <w:jc w:val="center"/>
              <w:rPr>
                <w:rFonts w:ascii="Times New Roman" w:hAnsi="Times New Roman"/>
              </w:rPr>
            </w:pPr>
            <w:r>
              <w:rPr>
                <w:rFonts w:hint="eastAsia" w:ascii="Times New Roman" w:hAnsi="Times New Roman"/>
              </w:rPr>
              <w:t>电子技工</w:t>
            </w:r>
          </w:p>
          <w:p>
            <w:pPr>
              <w:adjustRightInd w:val="0"/>
              <w:jc w:val="center"/>
              <w:rPr>
                <w:rFonts w:ascii="Times New Roman" w:hAnsi="Times New Roman"/>
              </w:rPr>
            </w:pPr>
            <w:r>
              <w:rPr>
                <w:rFonts w:hint="eastAsia" w:ascii="Times New Roman" w:hAnsi="Times New Roman"/>
              </w:rPr>
              <w:t>适任</w:t>
            </w:r>
            <w:r>
              <w:rPr>
                <w:rFonts w:ascii="Times New Roman" w:hAnsi="Times New Roman"/>
              </w:rPr>
              <w:t>证书</w:t>
            </w:r>
          </w:p>
        </w:tc>
        <w:tc>
          <w:tcPr>
            <w:tcW w:w="1088" w:type="dxa"/>
            <w:vAlign w:val="center"/>
          </w:tcPr>
          <w:p>
            <w:pPr>
              <w:jc w:val="center"/>
              <w:rPr>
                <w:rFonts w:ascii="Times New Roman" w:hAnsi="Times New Roman"/>
              </w:rPr>
            </w:pPr>
            <w:r>
              <w:rPr>
                <w:rFonts w:hint="eastAsia" w:ascii="Times New Roman" w:hAnsi="Times New Roman"/>
              </w:rPr>
              <w:t>750KW及以上</w:t>
            </w:r>
          </w:p>
        </w:tc>
        <w:tc>
          <w:tcPr>
            <w:tcW w:w="2289" w:type="dxa"/>
            <w:vAlign w:val="center"/>
          </w:tcPr>
          <w:p>
            <w:pPr>
              <w:adjustRightInd w:val="0"/>
              <w:snapToGrid w:val="0"/>
              <w:jc w:val="center"/>
              <w:rPr>
                <w:rFonts w:ascii="Times New Roman" w:hAnsi="Times New Roman"/>
              </w:rPr>
            </w:pPr>
            <w:r>
              <w:rPr>
                <w:rFonts w:hint="eastAsia" w:ascii="Times New Roman" w:hAnsi="Times New Roman"/>
              </w:rPr>
              <w:t>江苏海事局</w:t>
            </w:r>
          </w:p>
        </w:tc>
        <w:tc>
          <w:tcPr>
            <w:tcW w:w="1868" w:type="dxa"/>
            <w:vMerge w:val="continue"/>
            <w:vAlign w:val="center"/>
          </w:tcPr>
          <w:p>
            <w:pPr>
              <w:adjustRightInd w:val="0"/>
              <w:snapToGrid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660" w:type="dxa"/>
            <w:vAlign w:val="center"/>
          </w:tcPr>
          <w:p>
            <w:pPr>
              <w:adjustRightInd w:val="0"/>
              <w:snapToGrid w:val="0"/>
              <w:jc w:val="center"/>
              <w:rPr>
                <w:rFonts w:ascii="Times New Roman" w:hAnsi="Times New Roman"/>
              </w:rPr>
            </w:pPr>
            <w:r>
              <w:rPr>
                <w:rFonts w:hint="eastAsia" w:ascii="Times New Roman" w:hAnsi="Times New Roman"/>
              </w:rPr>
              <w:t>中级电工证书</w:t>
            </w:r>
          </w:p>
        </w:tc>
        <w:tc>
          <w:tcPr>
            <w:tcW w:w="1088" w:type="dxa"/>
            <w:vAlign w:val="center"/>
          </w:tcPr>
          <w:p>
            <w:pPr>
              <w:adjustRightInd w:val="0"/>
              <w:snapToGrid w:val="0"/>
              <w:jc w:val="center"/>
              <w:rPr>
                <w:rFonts w:ascii="Times New Roman" w:hAnsi="Times New Roman"/>
              </w:rPr>
            </w:pPr>
            <w:r>
              <w:rPr>
                <w:rFonts w:hint="eastAsia" w:ascii="Times New Roman" w:hAnsi="Times New Roman"/>
              </w:rPr>
              <w:t>中级</w:t>
            </w:r>
          </w:p>
        </w:tc>
        <w:tc>
          <w:tcPr>
            <w:tcW w:w="2289" w:type="dxa"/>
            <w:vAlign w:val="center"/>
          </w:tcPr>
          <w:p>
            <w:pPr>
              <w:jc w:val="center"/>
              <w:rPr>
                <w:rFonts w:ascii="Times New Roman" w:hAnsi="Times New Roman"/>
                <w:szCs w:val="24"/>
              </w:rPr>
            </w:pPr>
            <w:r>
              <w:rPr>
                <w:rFonts w:hint="eastAsia" w:ascii="Times New Roman" w:hAnsi="Times New Roman"/>
                <w:szCs w:val="24"/>
              </w:rPr>
              <w:t>江苏省职业技能鉴定中心</w:t>
            </w:r>
          </w:p>
        </w:tc>
        <w:tc>
          <w:tcPr>
            <w:tcW w:w="1868" w:type="dxa"/>
            <w:vAlign w:val="center"/>
          </w:tcPr>
          <w:p>
            <w:pPr>
              <w:jc w:val="center"/>
              <w:rPr>
                <w:rFonts w:ascii="Times New Roman" w:hAnsi="Times New Roman"/>
                <w:szCs w:val="24"/>
              </w:rPr>
            </w:pPr>
            <w:r>
              <w:rPr>
                <w:rFonts w:hint="eastAsia" w:ascii="Times New Roman" w:hAnsi="Times New Roman"/>
                <w:szCs w:val="24"/>
              </w:rPr>
              <w:t>必考</w:t>
            </w:r>
          </w:p>
        </w:tc>
      </w:tr>
    </w:tbl>
    <w:p>
      <w:pPr>
        <w:keepNext/>
        <w:widowControl/>
        <w:spacing w:before="156" w:after="156"/>
        <w:ind w:left="420" w:firstLine="280" w:firstLineChars="100"/>
        <w:jc w:val="left"/>
        <w:outlineLvl w:val="1"/>
        <w:rPr>
          <w:rFonts w:ascii="Times New Roman" w:hAnsi="Times New Roman" w:eastAsia="黑体" w:cs="黑体"/>
          <w:bCs/>
          <w:kern w:val="0"/>
          <w:sz w:val="28"/>
          <w:szCs w:val="28"/>
          <w:lang w:bidi="en-US"/>
        </w:rPr>
      </w:pPr>
      <w:r>
        <w:rPr>
          <w:rFonts w:ascii="Times New Roman" w:hAnsi="Times New Roman" w:eastAsia="黑体" w:cs="黑体"/>
          <w:bCs/>
          <w:kern w:val="0"/>
          <w:sz w:val="28"/>
          <w:szCs w:val="28"/>
          <w:lang w:bidi="en-US"/>
        </w:rPr>
        <w:t>5</w:t>
      </w:r>
      <w:r>
        <w:rPr>
          <w:rFonts w:hint="eastAsia" w:ascii="Times New Roman" w:hAnsi="Times New Roman" w:eastAsia="黑体" w:cs="黑体"/>
          <w:bCs/>
          <w:kern w:val="0"/>
          <w:sz w:val="28"/>
          <w:szCs w:val="28"/>
          <w:lang w:bidi="en-US"/>
        </w:rPr>
        <w:t>.操行合格要求</w:t>
      </w:r>
    </w:p>
    <w:p>
      <w:pPr>
        <w:autoSpaceDE w:val="0"/>
        <w:autoSpaceDN w:val="0"/>
        <w:adjustRightInd w:val="0"/>
        <w:spacing w:line="500" w:lineRule="exact"/>
        <w:ind w:firstLine="480" w:firstLineChars="200"/>
        <w:rPr>
          <w:rFonts w:ascii="Times New Roman" w:hAnsi="Times New Roman"/>
          <w:sz w:val="24"/>
          <w:szCs w:val="24"/>
        </w:rPr>
      </w:pPr>
      <w:r>
        <w:rPr>
          <w:rFonts w:hint="eastAsia" w:ascii="Times New Roman" w:hAnsi="Times New Roman"/>
          <w:sz w:val="24"/>
          <w:szCs w:val="24"/>
        </w:rPr>
        <w:t>根据《江苏海事职业技术学院学生操行积分管理办法》对学生进行德育素质考核，考核结果合格及以上。</w:t>
      </w:r>
    </w:p>
    <w:p>
      <w:pPr>
        <w:pStyle w:val="3"/>
        <w:spacing w:before="156" w:after="156"/>
        <w:ind w:firstLine="840" w:firstLineChars="300"/>
      </w:pPr>
      <w:r>
        <w:t>6.</w:t>
      </w:r>
      <w:r>
        <w:rPr>
          <w:rFonts w:hint="eastAsia"/>
        </w:rPr>
        <w:t>体质合格要求</w:t>
      </w:r>
    </w:p>
    <w:p>
      <w:pPr>
        <w:spacing w:line="360" w:lineRule="auto"/>
        <w:ind w:firstLine="555"/>
        <w:rPr>
          <w:rFonts w:ascii="宋体" w:hAnsi="宋体"/>
          <w:sz w:val="24"/>
        </w:rPr>
      </w:pPr>
      <w:bookmarkStart w:id="18" w:name="_Hlk11825864"/>
      <w:r>
        <w:rPr>
          <w:rFonts w:hint="eastAsia" w:ascii="宋体" w:hAnsi="宋体"/>
          <w:sz w:val="24"/>
        </w:rPr>
        <w:t>体质测试考核结果合格以上。</w:t>
      </w:r>
    </w:p>
    <w:bookmarkEnd w:id="18"/>
    <w:p>
      <w:pPr>
        <w:pStyle w:val="2"/>
        <w:spacing w:before="312" w:after="312"/>
      </w:pPr>
      <w:bookmarkStart w:id="19" w:name="_Toc396497636"/>
      <w:bookmarkStart w:id="20" w:name="_Toc396501702"/>
      <w:bookmarkStart w:id="21" w:name="_Toc396497326"/>
      <w:bookmarkStart w:id="22" w:name="_Toc396497528"/>
      <w:bookmarkStart w:id="23" w:name="_Toc393236439"/>
      <w:r>
        <w:rPr>
          <w:rFonts w:hint="eastAsia"/>
        </w:rPr>
        <w:t>二</w:t>
      </w:r>
      <w:r>
        <w:t>、</w:t>
      </w:r>
      <w:r>
        <w:rPr>
          <w:rFonts w:hint="eastAsia"/>
        </w:rPr>
        <w:t>转专业录取办法</w:t>
      </w:r>
    </w:p>
    <w:p>
      <w:pPr>
        <w:pStyle w:val="3"/>
        <w:spacing w:before="156" w:after="156"/>
      </w:pPr>
      <w:r>
        <w:t>（</w:t>
      </w:r>
      <w:r>
        <w:rPr>
          <w:rFonts w:hint="eastAsia"/>
        </w:rPr>
        <w:t>一</w:t>
      </w:r>
      <w:r>
        <w:t>）</w:t>
      </w:r>
      <w:r>
        <w:rPr>
          <w:rFonts w:hint="eastAsia"/>
        </w:rPr>
        <w:t>接受对象</w:t>
      </w:r>
    </w:p>
    <w:p>
      <w:pPr>
        <w:autoSpaceDE w:val="0"/>
        <w:autoSpaceDN w:val="0"/>
        <w:adjustRightInd w:val="0"/>
        <w:spacing w:line="500" w:lineRule="exact"/>
        <w:ind w:firstLine="480" w:firstLineChars="200"/>
        <w:rPr>
          <w:rFonts w:ascii="Times New Roman" w:hAnsi="Times New Roman"/>
          <w:sz w:val="24"/>
          <w:szCs w:val="24"/>
        </w:rPr>
      </w:pPr>
      <w:r>
        <w:rPr>
          <w:rFonts w:hint="eastAsia" w:ascii="Times New Roman" w:hAnsi="Times New Roman"/>
          <w:sz w:val="24"/>
          <w:szCs w:val="24"/>
        </w:rPr>
        <w:t>符合《江苏海事职业技术学院学生转专业管理办法（修订案）》遴选方案规定的相关学生，同时</w:t>
      </w:r>
      <w:r>
        <w:rPr>
          <w:rFonts w:ascii="Times New Roman" w:hAnsi="Times New Roman"/>
          <w:sz w:val="24"/>
          <w:szCs w:val="24"/>
        </w:rPr>
        <w:t>必须</w:t>
      </w:r>
      <w:r>
        <w:rPr>
          <w:rFonts w:hint="eastAsia" w:ascii="Times New Roman" w:hAnsi="Times New Roman"/>
          <w:sz w:val="24"/>
          <w:szCs w:val="24"/>
        </w:rPr>
        <w:t>符合江苏海事</w:t>
      </w:r>
      <w:r>
        <w:rPr>
          <w:rFonts w:ascii="Times New Roman" w:hAnsi="Times New Roman"/>
          <w:sz w:val="24"/>
          <w:szCs w:val="24"/>
        </w:rPr>
        <w:t>职业技术学院《</w:t>
      </w:r>
      <w:r>
        <w:rPr>
          <w:rFonts w:hint="eastAsia" w:ascii="Times New Roman" w:hAnsi="Times New Roman"/>
          <w:sz w:val="24"/>
          <w:szCs w:val="24"/>
        </w:rPr>
        <w:t>卓越海员计划</w:t>
      </w:r>
      <w:r>
        <w:rPr>
          <w:rFonts w:ascii="Times New Roman" w:hAnsi="Times New Roman"/>
          <w:sz w:val="24"/>
          <w:szCs w:val="24"/>
        </w:rPr>
        <w:t>》</w:t>
      </w:r>
      <w:r>
        <w:rPr>
          <w:rFonts w:hint="eastAsia" w:ascii="Times New Roman" w:hAnsi="Times New Roman"/>
          <w:sz w:val="24"/>
          <w:szCs w:val="24"/>
        </w:rPr>
        <w:t>遴选标准</w:t>
      </w:r>
      <w:r>
        <w:rPr>
          <w:rFonts w:ascii="Times New Roman" w:hAnsi="Times New Roman"/>
          <w:sz w:val="24"/>
          <w:szCs w:val="24"/>
        </w:rPr>
        <w:t>。</w:t>
      </w:r>
    </w:p>
    <w:p>
      <w:pPr>
        <w:pStyle w:val="3"/>
        <w:spacing w:before="156" w:after="156"/>
      </w:pPr>
      <w:r>
        <w:t>（</w:t>
      </w:r>
      <w:r>
        <w:rPr>
          <w:rFonts w:hint="eastAsia"/>
        </w:rPr>
        <w:t>二</w:t>
      </w:r>
      <w:r>
        <w:t>）</w:t>
      </w:r>
      <w:r>
        <w:rPr>
          <w:rFonts w:hint="eastAsia"/>
        </w:rPr>
        <w:t>遴选方案</w:t>
      </w:r>
    </w:p>
    <w:p>
      <w:pPr>
        <w:autoSpaceDE w:val="0"/>
        <w:autoSpaceDN w:val="0"/>
        <w:adjustRightInd w:val="0"/>
        <w:spacing w:line="500" w:lineRule="exact"/>
        <w:ind w:left="0" w:leftChars="0" w:firstLine="420" w:firstLineChars="175"/>
        <w:rPr>
          <w:rFonts w:ascii="Times New Roman" w:hAnsi="Times New Roman"/>
          <w:sz w:val="24"/>
          <w:szCs w:val="24"/>
        </w:rPr>
      </w:pPr>
      <w:r>
        <w:rPr>
          <w:rFonts w:hint="eastAsia" w:ascii="Times New Roman" w:hAnsi="Times New Roman"/>
          <w:sz w:val="24"/>
          <w:szCs w:val="24"/>
          <w:lang w:val="en-US" w:eastAsia="zh-CN"/>
        </w:rPr>
        <w:t xml:space="preserve">1. </w:t>
      </w:r>
      <w:r>
        <w:rPr>
          <w:rFonts w:hint="eastAsia" w:ascii="Times New Roman" w:hAnsi="Times New Roman"/>
          <w:sz w:val="24"/>
          <w:szCs w:val="24"/>
        </w:rPr>
        <w:t>在校学习期间，无处分记录。</w:t>
      </w:r>
    </w:p>
    <w:p>
      <w:pPr>
        <w:spacing w:line="360" w:lineRule="auto"/>
        <w:ind w:left="0" w:leftChars="0" w:firstLine="420" w:firstLineChars="175"/>
        <w:rPr>
          <w:rFonts w:hint="eastAsia" w:ascii="宋体" w:hAnsi="宋体" w:eastAsia="宋体"/>
          <w:sz w:val="24"/>
          <w:szCs w:val="24"/>
          <w:lang w:val="en-US" w:eastAsia="zh-CN"/>
        </w:rPr>
      </w:pPr>
      <w:r>
        <w:rPr>
          <w:rFonts w:hint="eastAsia" w:ascii="Times New Roman" w:hAnsi="Times New Roman"/>
          <w:sz w:val="24"/>
          <w:szCs w:val="24"/>
          <w:lang w:val="en-US" w:eastAsia="zh-CN"/>
        </w:rPr>
        <w:t xml:space="preserve">2. </w:t>
      </w:r>
      <w:r>
        <w:rPr>
          <w:rFonts w:hint="eastAsia" w:ascii="宋体" w:hAnsi="宋体" w:eastAsia="宋体"/>
          <w:sz w:val="24"/>
          <w:szCs w:val="24"/>
        </w:rPr>
        <w:t>以当前学期平均学分绩点</w:t>
      </w:r>
      <w:r>
        <w:rPr>
          <w:rFonts w:hint="eastAsia" w:ascii="宋体" w:hAnsi="宋体" w:eastAsia="宋体"/>
          <w:sz w:val="24"/>
          <w:szCs w:val="24"/>
          <w:lang w:val="en-US" w:eastAsia="zh-CN"/>
        </w:rPr>
        <w:t>由高到低排序，平均绩分点相同时，按班级综合排名排序。</w:t>
      </w:r>
    </w:p>
    <w:p>
      <w:pPr>
        <w:spacing w:line="360" w:lineRule="auto"/>
        <w:ind w:left="0" w:leftChars="0" w:firstLine="420" w:firstLineChars="175"/>
        <w:rPr>
          <w:rFonts w:hint="default" w:ascii="宋体" w:hAnsi="宋体" w:eastAsia="宋体"/>
          <w:sz w:val="24"/>
          <w:szCs w:val="24"/>
          <w:lang w:val="en-US" w:eastAsia="zh-CN"/>
        </w:rPr>
      </w:pPr>
      <w:r>
        <w:rPr>
          <w:rFonts w:hint="eastAsia" w:ascii="宋体" w:hAnsi="宋体"/>
          <w:sz w:val="24"/>
          <w:szCs w:val="24"/>
          <w:lang w:val="en-US" w:eastAsia="zh-CN"/>
        </w:rPr>
        <w:t>3.</w:t>
      </w:r>
      <w:r>
        <w:rPr>
          <w:rFonts w:hint="eastAsia" w:ascii="宋体" w:hAnsi="宋体" w:eastAsia="宋体"/>
          <w:sz w:val="24"/>
          <w:szCs w:val="24"/>
          <w:lang w:val="en-US" w:eastAsia="zh-CN"/>
        </w:rPr>
        <w:t>按第1-</w:t>
      </w:r>
      <w:r>
        <w:rPr>
          <w:rFonts w:hint="eastAsia" w:ascii="宋体" w:hAnsi="宋体"/>
          <w:sz w:val="24"/>
          <w:szCs w:val="24"/>
          <w:lang w:val="en-US" w:eastAsia="zh-CN"/>
        </w:rPr>
        <w:t>2</w:t>
      </w:r>
      <w:r>
        <w:rPr>
          <w:rFonts w:hint="eastAsia" w:ascii="宋体" w:hAnsi="宋体" w:eastAsia="宋体"/>
          <w:sz w:val="24"/>
          <w:szCs w:val="24"/>
          <w:lang w:val="en-US" w:eastAsia="zh-CN"/>
        </w:rPr>
        <w:t>条规定程序产生的名单安排面试（不超过计划人数110%），以确定最终录取名单。面试具体程序和时间由轮机与电气工程学院安排，不参加面试的学生视为放弃本次转专业机会。</w:t>
      </w:r>
    </w:p>
    <w:p>
      <w:pPr>
        <w:autoSpaceDE w:val="0"/>
        <w:autoSpaceDN w:val="0"/>
        <w:adjustRightInd w:val="0"/>
        <w:spacing w:line="500" w:lineRule="exact"/>
        <w:ind w:firstLine="480" w:firstLineChars="200"/>
        <w:rPr>
          <w:rFonts w:hint="eastAsia" w:ascii="Times New Roman" w:hAnsi="Times New Roman"/>
          <w:sz w:val="24"/>
          <w:szCs w:val="24"/>
        </w:rPr>
      </w:pPr>
    </w:p>
    <w:bookmarkEnd w:id="19"/>
    <w:bookmarkEnd w:id="20"/>
    <w:bookmarkEnd w:id="21"/>
    <w:bookmarkEnd w:id="22"/>
    <w:bookmarkEnd w:id="23"/>
    <w:p>
      <w:pPr>
        <w:ind w:firstLine="560" w:firstLineChars="200"/>
        <w:rPr>
          <w:rFonts w:ascii="Times New Roman" w:hAnsi="Times New Roman"/>
          <w:sz w:val="28"/>
          <w:szCs w:val="28"/>
        </w:rPr>
      </w:pPr>
      <w:bookmarkStart w:id="24" w:name="_GoBack"/>
      <w:bookmarkEnd w:id="24"/>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oNotDisplayPageBoundaries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wODQxYjk1OTIxMDE5MGUxMzc1ODhlODI1MGYxNTIifQ=="/>
  </w:docVars>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5D50"/>
    <w:rsid w:val="000D434A"/>
    <w:rsid w:val="000D6896"/>
    <w:rsid w:val="000E7029"/>
    <w:rsid w:val="000F21AB"/>
    <w:rsid w:val="000F4F92"/>
    <w:rsid w:val="000F75CD"/>
    <w:rsid w:val="00112D75"/>
    <w:rsid w:val="00114BF6"/>
    <w:rsid w:val="00120749"/>
    <w:rsid w:val="0012179F"/>
    <w:rsid w:val="001219A1"/>
    <w:rsid w:val="00145213"/>
    <w:rsid w:val="00160373"/>
    <w:rsid w:val="00160624"/>
    <w:rsid w:val="00163CAB"/>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20184"/>
    <w:rsid w:val="00220752"/>
    <w:rsid w:val="002267CC"/>
    <w:rsid w:val="002336A9"/>
    <w:rsid w:val="002426E9"/>
    <w:rsid w:val="00244444"/>
    <w:rsid w:val="00250B53"/>
    <w:rsid w:val="002737B8"/>
    <w:rsid w:val="0028070B"/>
    <w:rsid w:val="00296891"/>
    <w:rsid w:val="002978DC"/>
    <w:rsid w:val="002B3EA2"/>
    <w:rsid w:val="002B7D5D"/>
    <w:rsid w:val="002C35DB"/>
    <w:rsid w:val="002C79DD"/>
    <w:rsid w:val="002D3A7E"/>
    <w:rsid w:val="002D7834"/>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53ABC"/>
    <w:rsid w:val="00373FB1"/>
    <w:rsid w:val="003747B6"/>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6CC9"/>
    <w:rsid w:val="004019EC"/>
    <w:rsid w:val="00403D68"/>
    <w:rsid w:val="00431108"/>
    <w:rsid w:val="0043111D"/>
    <w:rsid w:val="004357CF"/>
    <w:rsid w:val="00435EB3"/>
    <w:rsid w:val="0043676D"/>
    <w:rsid w:val="00440C76"/>
    <w:rsid w:val="004426D5"/>
    <w:rsid w:val="00445581"/>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96F05"/>
    <w:rsid w:val="004A6F37"/>
    <w:rsid w:val="004B5E17"/>
    <w:rsid w:val="004B6DF3"/>
    <w:rsid w:val="004C26DF"/>
    <w:rsid w:val="004C6954"/>
    <w:rsid w:val="004C6D7C"/>
    <w:rsid w:val="004D0783"/>
    <w:rsid w:val="004D0A00"/>
    <w:rsid w:val="004D2E36"/>
    <w:rsid w:val="004D67EF"/>
    <w:rsid w:val="004D7D7F"/>
    <w:rsid w:val="004E0E0C"/>
    <w:rsid w:val="004E2779"/>
    <w:rsid w:val="004E3440"/>
    <w:rsid w:val="004E65F4"/>
    <w:rsid w:val="004F41EA"/>
    <w:rsid w:val="004F48A3"/>
    <w:rsid w:val="004F7FDB"/>
    <w:rsid w:val="00502E56"/>
    <w:rsid w:val="00507A9D"/>
    <w:rsid w:val="00510C17"/>
    <w:rsid w:val="00510CC5"/>
    <w:rsid w:val="00512314"/>
    <w:rsid w:val="0051262F"/>
    <w:rsid w:val="00514DDF"/>
    <w:rsid w:val="00521A0E"/>
    <w:rsid w:val="00522DA6"/>
    <w:rsid w:val="00522E5E"/>
    <w:rsid w:val="00524E21"/>
    <w:rsid w:val="00527C8C"/>
    <w:rsid w:val="0053180B"/>
    <w:rsid w:val="0053444C"/>
    <w:rsid w:val="005361CF"/>
    <w:rsid w:val="00536CB8"/>
    <w:rsid w:val="0054095C"/>
    <w:rsid w:val="005433E6"/>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2F3D"/>
    <w:rsid w:val="005C31B3"/>
    <w:rsid w:val="005C3A02"/>
    <w:rsid w:val="005C5AB5"/>
    <w:rsid w:val="005F5F38"/>
    <w:rsid w:val="00607BC3"/>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554"/>
    <w:rsid w:val="00714161"/>
    <w:rsid w:val="00731782"/>
    <w:rsid w:val="00731D73"/>
    <w:rsid w:val="007369FC"/>
    <w:rsid w:val="00737028"/>
    <w:rsid w:val="007403EE"/>
    <w:rsid w:val="007407C0"/>
    <w:rsid w:val="00740B56"/>
    <w:rsid w:val="00744780"/>
    <w:rsid w:val="0075354F"/>
    <w:rsid w:val="00760FB5"/>
    <w:rsid w:val="007678FF"/>
    <w:rsid w:val="00770302"/>
    <w:rsid w:val="00771AF8"/>
    <w:rsid w:val="00775E5C"/>
    <w:rsid w:val="00785768"/>
    <w:rsid w:val="0078791E"/>
    <w:rsid w:val="007916E7"/>
    <w:rsid w:val="007925E8"/>
    <w:rsid w:val="00795B51"/>
    <w:rsid w:val="007A6510"/>
    <w:rsid w:val="007B51CD"/>
    <w:rsid w:val="007B5341"/>
    <w:rsid w:val="007C17A0"/>
    <w:rsid w:val="007C1C2C"/>
    <w:rsid w:val="007C24E0"/>
    <w:rsid w:val="007C7038"/>
    <w:rsid w:val="007C76DE"/>
    <w:rsid w:val="007D25A3"/>
    <w:rsid w:val="007D3826"/>
    <w:rsid w:val="007E3A18"/>
    <w:rsid w:val="007E59E2"/>
    <w:rsid w:val="007E6A5C"/>
    <w:rsid w:val="007F16EA"/>
    <w:rsid w:val="007F3C6F"/>
    <w:rsid w:val="007F6622"/>
    <w:rsid w:val="0080407A"/>
    <w:rsid w:val="00805465"/>
    <w:rsid w:val="008064C0"/>
    <w:rsid w:val="008070CD"/>
    <w:rsid w:val="008148B6"/>
    <w:rsid w:val="008156D8"/>
    <w:rsid w:val="00816F75"/>
    <w:rsid w:val="00821D5D"/>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C6DF7"/>
    <w:rsid w:val="008D051C"/>
    <w:rsid w:val="008D10FE"/>
    <w:rsid w:val="008D6C06"/>
    <w:rsid w:val="008E599C"/>
    <w:rsid w:val="008E7939"/>
    <w:rsid w:val="008E796B"/>
    <w:rsid w:val="008F0165"/>
    <w:rsid w:val="008F1F23"/>
    <w:rsid w:val="008F3A55"/>
    <w:rsid w:val="008F70C4"/>
    <w:rsid w:val="009020A1"/>
    <w:rsid w:val="00906754"/>
    <w:rsid w:val="0091157B"/>
    <w:rsid w:val="009115F6"/>
    <w:rsid w:val="00917C65"/>
    <w:rsid w:val="0092399E"/>
    <w:rsid w:val="00925678"/>
    <w:rsid w:val="009304AF"/>
    <w:rsid w:val="009310E3"/>
    <w:rsid w:val="00931E00"/>
    <w:rsid w:val="00947E4C"/>
    <w:rsid w:val="00952259"/>
    <w:rsid w:val="009538E9"/>
    <w:rsid w:val="009558AD"/>
    <w:rsid w:val="009568DA"/>
    <w:rsid w:val="00957132"/>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52F9F"/>
    <w:rsid w:val="00A6153F"/>
    <w:rsid w:val="00A70B19"/>
    <w:rsid w:val="00A72D6B"/>
    <w:rsid w:val="00A83B35"/>
    <w:rsid w:val="00A846C1"/>
    <w:rsid w:val="00A90671"/>
    <w:rsid w:val="00A91572"/>
    <w:rsid w:val="00A93C6C"/>
    <w:rsid w:val="00A968D9"/>
    <w:rsid w:val="00AA1675"/>
    <w:rsid w:val="00AA339F"/>
    <w:rsid w:val="00AA7492"/>
    <w:rsid w:val="00AC1BB0"/>
    <w:rsid w:val="00AC52CB"/>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4AB"/>
    <w:rsid w:val="00B2364B"/>
    <w:rsid w:val="00B23B19"/>
    <w:rsid w:val="00B24274"/>
    <w:rsid w:val="00B31765"/>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B40C7"/>
    <w:rsid w:val="00BC1535"/>
    <w:rsid w:val="00BD12B2"/>
    <w:rsid w:val="00BE45ED"/>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36B7"/>
    <w:rsid w:val="00C87667"/>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16FCE"/>
    <w:rsid w:val="00D20251"/>
    <w:rsid w:val="00D2283C"/>
    <w:rsid w:val="00D22D92"/>
    <w:rsid w:val="00D25D76"/>
    <w:rsid w:val="00D31CD5"/>
    <w:rsid w:val="00D323D2"/>
    <w:rsid w:val="00D323E1"/>
    <w:rsid w:val="00D365D8"/>
    <w:rsid w:val="00D374F2"/>
    <w:rsid w:val="00D55D97"/>
    <w:rsid w:val="00D56184"/>
    <w:rsid w:val="00D65510"/>
    <w:rsid w:val="00D6676C"/>
    <w:rsid w:val="00D8011F"/>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7780"/>
    <w:rsid w:val="00E170EB"/>
    <w:rsid w:val="00E31AD2"/>
    <w:rsid w:val="00E34483"/>
    <w:rsid w:val="00E3728A"/>
    <w:rsid w:val="00E44CD2"/>
    <w:rsid w:val="00E451EE"/>
    <w:rsid w:val="00E472B3"/>
    <w:rsid w:val="00E500C8"/>
    <w:rsid w:val="00E52F55"/>
    <w:rsid w:val="00E57E9B"/>
    <w:rsid w:val="00E62309"/>
    <w:rsid w:val="00E62FF7"/>
    <w:rsid w:val="00E65AE3"/>
    <w:rsid w:val="00E7059A"/>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50C3"/>
    <w:rsid w:val="00F25EED"/>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645B"/>
    <w:rsid w:val="00F97B2C"/>
    <w:rsid w:val="00FA3B67"/>
    <w:rsid w:val="00FA540C"/>
    <w:rsid w:val="00FB62A6"/>
    <w:rsid w:val="00FC3BE4"/>
    <w:rsid w:val="00FD4FA5"/>
    <w:rsid w:val="00FD6043"/>
    <w:rsid w:val="00FE2E5F"/>
    <w:rsid w:val="00FE3F1A"/>
    <w:rsid w:val="00FE7B81"/>
    <w:rsid w:val="00FF13E9"/>
    <w:rsid w:val="00FF21B3"/>
    <w:rsid w:val="00FF4A2F"/>
    <w:rsid w:val="03917E46"/>
    <w:rsid w:val="1BA509E5"/>
    <w:rsid w:val="1DAB71DA"/>
    <w:rsid w:val="22E56FB7"/>
    <w:rsid w:val="2CDE716C"/>
    <w:rsid w:val="30DB00C9"/>
    <w:rsid w:val="32724F42"/>
    <w:rsid w:val="39E22AE7"/>
    <w:rsid w:val="48340C07"/>
    <w:rsid w:val="5A945EAD"/>
    <w:rsid w:val="62505BB1"/>
    <w:rsid w:val="62CE53E0"/>
    <w:rsid w:val="63B45DF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autoRedefine/>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autoRedefine/>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uiPriority w:val="1"/>
  </w:style>
  <w:style w:type="table" w:default="1" w:styleId="12">
    <w:name w:val="Normal Table"/>
    <w:autoRedefine/>
    <w:semiHidden/>
    <w:unhideWhenUsed/>
    <w:uiPriority w:val="99"/>
    <w:tblPr>
      <w:tblCellMar>
        <w:top w:w="0" w:type="dxa"/>
        <w:left w:w="108" w:type="dxa"/>
        <w:bottom w:w="0" w:type="dxa"/>
        <w:right w:w="108" w:type="dxa"/>
      </w:tblCellMar>
    </w:tblPr>
  </w:style>
  <w:style w:type="paragraph" w:styleId="5">
    <w:name w:val="annotation text"/>
    <w:basedOn w:val="1"/>
    <w:link w:val="23"/>
    <w:autoRedefine/>
    <w:qFormat/>
    <w:uiPriority w:val="0"/>
    <w:pPr>
      <w:jc w:val="left"/>
    </w:pPr>
    <w:rPr>
      <w:kern w:val="0"/>
      <w:sz w:val="24"/>
      <w:szCs w:val="20"/>
    </w:rPr>
  </w:style>
  <w:style w:type="paragraph" w:styleId="6">
    <w:name w:val="Plain Text"/>
    <w:basedOn w:val="1"/>
    <w:link w:val="31"/>
    <w:autoRedefine/>
    <w:qFormat/>
    <w:uiPriority w:val="0"/>
    <w:rPr>
      <w:rFonts w:ascii="宋体" w:hAnsi="Courier New" w:cs="Courier New"/>
      <w:iCs/>
      <w:color w:val="000000"/>
      <w:szCs w:val="21"/>
    </w:rPr>
  </w:style>
  <w:style w:type="paragraph" w:styleId="7">
    <w:name w:val="Balloon Text"/>
    <w:basedOn w:val="1"/>
    <w:link w:val="26"/>
    <w:autoRedefine/>
    <w:semiHidden/>
    <w:qFormat/>
    <w:uiPriority w:val="99"/>
    <w:rPr>
      <w:sz w:val="18"/>
      <w:szCs w:val="18"/>
    </w:rPr>
  </w:style>
  <w:style w:type="paragraph" w:styleId="8">
    <w:name w:val="footer"/>
    <w:basedOn w:val="1"/>
    <w:link w:val="28"/>
    <w:autoRedefine/>
    <w:qFormat/>
    <w:uiPriority w:val="99"/>
    <w:pPr>
      <w:tabs>
        <w:tab w:val="center" w:pos="4153"/>
        <w:tab w:val="right" w:pos="8306"/>
      </w:tabs>
      <w:snapToGrid w:val="0"/>
      <w:jc w:val="left"/>
    </w:pPr>
    <w:rPr>
      <w:sz w:val="18"/>
      <w:szCs w:val="18"/>
    </w:rPr>
  </w:style>
  <w:style w:type="paragraph" w:styleId="9">
    <w:name w:val="header"/>
    <w:basedOn w:val="1"/>
    <w:link w:val="29"/>
    <w:autoRedefine/>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autoRedefine/>
    <w:semiHidden/>
    <w:qFormat/>
    <w:uiPriority w:val="99"/>
    <w:rPr>
      <w:b/>
      <w:bCs/>
      <w:szCs w:val="22"/>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autoRedefine/>
    <w:semiHidden/>
    <w:unhideWhenUsed/>
    <w:qFormat/>
    <w:uiPriority w:val="99"/>
    <w:rPr>
      <w:color w:val="800080"/>
      <w:u w:val="single"/>
    </w:rPr>
  </w:style>
  <w:style w:type="character" w:styleId="16">
    <w:name w:val="Emphasis"/>
    <w:basedOn w:val="14"/>
    <w:autoRedefine/>
    <w:qFormat/>
    <w:locked/>
    <w:uiPriority w:val="20"/>
    <w:rPr>
      <w:i/>
      <w:iCs/>
    </w:rPr>
  </w:style>
  <w:style w:type="character" w:styleId="17">
    <w:name w:val="Hyperlink"/>
    <w:basedOn w:val="14"/>
    <w:autoRedefine/>
    <w:qFormat/>
    <w:uiPriority w:val="99"/>
    <w:rPr>
      <w:rFonts w:cs="Times New Roman"/>
      <w:color w:val="0000FF"/>
      <w:u w:val="single"/>
    </w:rPr>
  </w:style>
  <w:style w:type="character" w:styleId="18">
    <w:name w:val="annotation reference"/>
    <w:basedOn w:val="14"/>
    <w:autoRedefine/>
    <w:qFormat/>
    <w:uiPriority w:val="0"/>
    <w:rPr>
      <w:rFonts w:cs="Times New Roman"/>
      <w:sz w:val="21"/>
    </w:rPr>
  </w:style>
  <w:style w:type="character" w:customStyle="1" w:styleId="19">
    <w:name w:val="标题 1 字符"/>
    <w:basedOn w:val="14"/>
    <w:link w:val="2"/>
    <w:autoRedefine/>
    <w:qFormat/>
    <w:locked/>
    <w:uiPriority w:val="99"/>
    <w:rPr>
      <w:rFonts w:ascii="黑体" w:hAnsi="黑体" w:eastAsia="黑体" w:cs="Times New Roman"/>
      <w:color w:val="000000"/>
      <w:sz w:val="32"/>
      <w:szCs w:val="32"/>
    </w:rPr>
  </w:style>
  <w:style w:type="character" w:customStyle="1" w:styleId="20">
    <w:name w:val="标题 2 字符"/>
    <w:basedOn w:val="14"/>
    <w:link w:val="3"/>
    <w:autoRedefine/>
    <w:qFormat/>
    <w:locked/>
    <w:uiPriority w:val="99"/>
    <w:rPr>
      <w:rFonts w:ascii="黑体" w:hAnsi="黑体" w:eastAsia="黑体" w:cs="Times New Roman"/>
      <w:color w:val="000000"/>
      <w:sz w:val="28"/>
      <w:szCs w:val="28"/>
    </w:rPr>
  </w:style>
  <w:style w:type="character" w:customStyle="1" w:styleId="21">
    <w:name w:val="标题 3 字符"/>
    <w:basedOn w:val="14"/>
    <w:link w:val="4"/>
    <w:autoRedefine/>
    <w:qFormat/>
    <w:locked/>
    <w:uiPriority w:val="99"/>
    <w:rPr>
      <w:rFonts w:ascii="宋体" w:eastAsia="宋体" w:cs="仿宋_GB2312"/>
      <w:b/>
      <w:bCs/>
      <w:sz w:val="24"/>
      <w:szCs w:val="24"/>
    </w:rPr>
  </w:style>
  <w:style w:type="character" w:customStyle="1" w:styleId="22">
    <w:name w:val="Comment Text Char"/>
    <w:autoRedefine/>
    <w:qFormat/>
    <w:locked/>
    <w:uiPriority w:val="99"/>
    <w:rPr>
      <w:rFonts w:eastAsia="宋体"/>
      <w:sz w:val="24"/>
    </w:rPr>
  </w:style>
  <w:style w:type="character" w:customStyle="1" w:styleId="23">
    <w:name w:val="批注文字 字符"/>
    <w:basedOn w:val="14"/>
    <w:link w:val="5"/>
    <w:autoRedefine/>
    <w:qFormat/>
    <w:locked/>
    <w:uiPriority w:val="0"/>
    <w:rPr>
      <w:rFonts w:cs="Times New Roman"/>
    </w:rPr>
  </w:style>
  <w:style w:type="character" w:customStyle="1" w:styleId="24">
    <w:name w:val="批注文字 Char1"/>
    <w:basedOn w:val="14"/>
    <w:autoRedefine/>
    <w:semiHidden/>
    <w:qFormat/>
    <w:uiPriority w:val="99"/>
    <w:rPr>
      <w:rFonts w:cs="Times New Roman"/>
    </w:rPr>
  </w:style>
  <w:style w:type="paragraph" w:customStyle="1" w:styleId="25">
    <w:name w:val="Char Char Char Char"/>
    <w:basedOn w:val="1"/>
    <w:autoRedefine/>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autoRedefine/>
    <w:semiHidden/>
    <w:qFormat/>
    <w:locked/>
    <w:uiPriority w:val="99"/>
    <w:rPr>
      <w:rFonts w:cs="Times New Roman"/>
      <w:sz w:val="18"/>
      <w:szCs w:val="18"/>
    </w:rPr>
  </w:style>
  <w:style w:type="character" w:customStyle="1" w:styleId="27">
    <w:name w:val="批注主题 字符"/>
    <w:basedOn w:val="22"/>
    <w:link w:val="11"/>
    <w:autoRedefine/>
    <w:semiHidden/>
    <w:qFormat/>
    <w:locked/>
    <w:uiPriority w:val="99"/>
    <w:rPr>
      <w:rFonts w:eastAsia="宋体" w:cs="Times New Roman"/>
      <w:b/>
      <w:bCs/>
      <w:sz w:val="24"/>
      <w:szCs w:val="24"/>
    </w:rPr>
  </w:style>
  <w:style w:type="character" w:customStyle="1" w:styleId="28">
    <w:name w:val="页脚 字符"/>
    <w:basedOn w:val="14"/>
    <w:link w:val="8"/>
    <w:autoRedefine/>
    <w:qFormat/>
    <w:locked/>
    <w:uiPriority w:val="99"/>
    <w:rPr>
      <w:rFonts w:cs="Times New Roman"/>
      <w:sz w:val="18"/>
      <w:szCs w:val="18"/>
    </w:rPr>
  </w:style>
  <w:style w:type="character" w:customStyle="1" w:styleId="29">
    <w:name w:val="页眉 字符"/>
    <w:basedOn w:val="14"/>
    <w:link w:val="9"/>
    <w:autoRedefine/>
    <w:semiHidden/>
    <w:qFormat/>
    <w:locked/>
    <w:uiPriority w:val="99"/>
    <w:rPr>
      <w:rFonts w:cs="Times New Roman"/>
      <w:sz w:val="18"/>
      <w:szCs w:val="18"/>
    </w:rPr>
  </w:style>
  <w:style w:type="character" w:customStyle="1" w:styleId="30">
    <w:name w:val="Plain Text Char"/>
    <w:basedOn w:val="14"/>
    <w:autoRedefine/>
    <w:semiHidden/>
    <w:qFormat/>
    <w:locked/>
    <w:uiPriority w:val="99"/>
    <w:rPr>
      <w:rFonts w:ascii="宋体" w:hAnsi="Courier New" w:cs="Courier New"/>
      <w:sz w:val="21"/>
      <w:szCs w:val="21"/>
    </w:rPr>
  </w:style>
  <w:style w:type="character" w:customStyle="1" w:styleId="31">
    <w:name w:val="纯文本 字符"/>
    <w:basedOn w:val="14"/>
    <w:link w:val="6"/>
    <w:autoRedefine/>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autoRedefine/>
    <w:qFormat/>
    <w:uiPriority w:val="99"/>
    <w:rPr>
      <w:rFonts w:cs="Times New Roman"/>
    </w:rPr>
  </w:style>
  <w:style w:type="paragraph" w:customStyle="1" w:styleId="33">
    <w:name w:val="List Paragraph1"/>
    <w:basedOn w:val="1"/>
    <w:autoRedefine/>
    <w:qFormat/>
    <w:uiPriority w:val="99"/>
    <w:pPr>
      <w:ind w:firstLine="420" w:firstLineChars="200"/>
    </w:pPr>
  </w:style>
  <w:style w:type="paragraph" w:customStyle="1" w:styleId="34">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autoRedefine/>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autoRedefine/>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autoRedefine/>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autoRedefine/>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autoRedefine/>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autoRedefine/>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autoRedefine/>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autoRedefine/>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autoRedefine/>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autoRedefine/>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autoRedefine/>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autoRedefine/>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autoRedefine/>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B7725-B356-4A8B-A500-6E00B42AFB7E}">
  <ds:schemaRefs/>
</ds:datastoreItem>
</file>

<file path=docProps/app.xml><?xml version="1.0" encoding="utf-8"?>
<Properties xmlns="http://schemas.openxmlformats.org/officeDocument/2006/extended-properties" xmlns:vt="http://schemas.openxmlformats.org/officeDocument/2006/docPropsVTypes">
  <Template>Normal</Template>
  <Pages>4</Pages>
  <Words>284</Words>
  <Characters>1620</Characters>
  <Lines>13</Lines>
  <Paragraphs>3</Paragraphs>
  <TotalTime>0</TotalTime>
  <ScaleCrop>false</ScaleCrop>
  <LinksUpToDate>false</LinksUpToDate>
  <CharactersWithSpaces>1901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2024-06-02T10:17:00Z</dcterms:created>
  <dc:creator>王涛</dc:creator>
  <cp:lastModifiedBy>孙方霞</cp:lastModifiedBy>
  <cp:lastPrinted>2019-12-17T07:39:00Z</cp:lastPrinted>
  <dcterms:modified xsi:type="dcterms:W3CDTF">2024-06-06T01:17:49Z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6048748DF53F4BB69C0E55823FB23449</vt:lpwstr>
  </property>
</Properties>
</file>