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E7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720" w:firstLineChars="200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</w:p>
    <w:p w14:paraId="2FE5A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720" w:firstLineChars="200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电子商务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2B7B7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720" w:firstLineChars="200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二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7F45E0D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0" w:afterLines="0" w:line="360" w:lineRule="auto"/>
        <w:ind w:firstLine="560" w:firstLineChars="200"/>
        <w:textAlignment w:val="auto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634"/>
      <w:bookmarkStart w:id="1" w:name="_Toc396497526"/>
      <w:bookmarkStart w:id="2" w:name="_Toc396501700"/>
      <w:bookmarkStart w:id="3" w:name="_Toc393236437"/>
      <w:bookmarkStart w:id="4" w:name="_Toc396497324"/>
    </w:p>
    <w:bookmarkEnd w:id="0"/>
    <w:bookmarkEnd w:id="1"/>
    <w:bookmarkEnd w:id="2"/>
    <w:bookmarkEnd w:id="3"/>
    <w:bookmarkEnd w:id="4"/>
    <w:p w14:paraId="7CDFD0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after="312"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 w14:paraId="22EC4CF8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="312" w:after="312" w:line="360" w:lineRule="auto"/>
        <w:ind w:firstLine="562" w:firstLineChars="200"/>
        <w:textAlignment w:val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基本信息</w:t>
      </w:r>
    </w:p>
    <w:p w14:paraId="43AD97B9"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（一）专业名称</w:t>
      </w:r>
    </w:p>
    <w:tbl>
      <w:tblPr>
        <w:tblStyle w:val="12"/>
        <w:tblW w:w="82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170" w:type="dxa"/>
          <w:left w:w="108" w:type="dxa"/>
          <w:bottom w:w="170" w:type="dxa"/>
          <w:right w:w="108" w:type="dxa"/>
        </w:tblCellMar>
      </w:tblPr>
      <w:tblGrid>
        <w:gridCol w:w="2661"/>
        <w:gridCol w:w="2945"/>
        <w:gridCol w:w="2627"/>
      </w:tblGrid>
      <w:tr w14:paraId="05C2A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17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61" w:type="dxa"/>
            <w:vAlign w:val="center"/>
          </w:tcPr>
          <w:p w14:paraId="34D81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60" w:lineRule="auto"/>
              <w:ind w:firstLine="480" w:firstLineChars="20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专业名称（代码）</w:t>
            </w:r>
          </w:p>
        </w:tc>
        <w:tc>
          <w:tcPr>
            <w:tcW w:w="2945" w:type="dxa"/>
            <w:vAlign w:val="center"/>
          </w:tcPr>
          <w:p w14:paraId="25771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60" w:lineRule="auto"/>
              <w:ind w:firstLine="480" w:firstLineChars="20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所属专业大类（代码）</w:t>
            </w:r>
          </w:p>
        </w:tc>
        <w:tc>
          <w:tcPr>
            <w:tcW w:w="2627" w:type="dxa"/>
            <w:vAlign w:val="center"/>
          </w:tcPr>
          <w:p w14:paraId="7F53B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60" w:lineRule="auto"/>
              <w:ind w:firstLine="480" w:firstLineChars="20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所属专业类（代码）</w:t>
            </w:r>
          </w:p>
        </w:tc>
      </w:tr>
      <w:tr w14:paraId="0D64BA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17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61" w:type="dxa"/>
            <w:vAlign w:val="center"/>
          </w:tcPr>
          <w:p w14:paraId="5C9B0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60" w:lineRule="auto"/>
              <w:ind w:firstLine="480" w:firstLineChars="20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电子商务（530701）</w:t>
            </w:r>
          </w:p>
        </w:tc>
        <w:tc>
          <w:tcPr>
            <w:tcW w:w="2945" w:type="dxa"/>
            <w:vAlign w:val="center"/>
          </w:tcPr>
          <w:p w14:paraId="6F039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60" w:lineRule="auto"/>
              <w:ind w:firstLine="480" w:firstLineChars="20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财经商贸大类（53）</w:t>
            </w:r>
          </w:p>
        </w:tc>
        <w:tc>
          <w:tcPr>
            <w:tcW w:w="2627" w:type="dxa"/>
            <w:vAlign w:val="center"/>
          </w:tcPr>
          <w:p w14:paraId="42B75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60" w:lineRule="auto"/>
              <w:ind w:firstLine="480" w:firstLineChars="20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电子商务类（5307）</w:t>
            </w:r>
          </w:p>
        </w:tc>
      </w:tr>
    </w:tbl>
    <w:p w14:paraId="54A83B0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（二）入学要求</w:t>
      </w:r>
    </w:p>
    <w:p w14:paraId="3A383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高中阶段教育毕业生或具有同等学力者</w:t>
      </w:r>
    </w:p>
    <w:p w14:paraId="0CE19B0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）人才培养目标</w:t>
      </w:r>
    </w:p>
    <w:p w14:paraId="10285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本专业培养具有社会主义核心价值观，德、智、体、美、劳全面发展，具有一定的科学文化水平，具备“政治素质、人文情怀、职业道德、工匠精神”，有较强的就业能力和可持续发展的能力，掌握电子商务专业知识和技术技能，面向互联网批发、零售和服务行业，能够从事商品信息编辑、电商平台运营、营销活动策划、客户服务管理等工作的高素质创新型技术技能人才。学生毕业3年后，应当能够成为精通电商岗位技能，擅于电商业务设计与管理的技术骨干并达到电子商务师（二级）水平。</w:t>
      </w:r>
    </w:p>
    <w:p w14:paraId="0D7D3B6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（四）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职业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面向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岗位</w:t>
      </w:r>
    </w:p>
    <w:tbl>
      <w:tblPr>
        <w:tblStyle w:val="13"/>
        <w:tblW w:w="8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2246"/>
        <w:gridCol w:w="2017"/>
        <w:gridCol w:w="2738"/>
      </w:tblGrid>
      <w:tr w14:paraId="3FD0A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 w14:paraId="04AF9691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对应行业</w:t>
            </w:r>
          </w:p>
          <w:p w14:paraId="552FB523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2246" w:type="dxa"/>
            <w:tcMar>
              <w:left w:w="57" w:type="dxa"/>
              <w:right w:w="57" w:type="dxa"/>
            </w:tcMar>
            <w:vAlign w:val="center"/>
          </w:tcPr>
          <w:p w14:paraId="2A8D87FB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主要职业类别</w:t>
            </w:r>
          </w:p>
          <w:p w14:paraId="57345692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2017" w:type="dxa"/>
            <w:tcMar>
              <w:left w:w="57" w:type="dxa"/>
              <w:right w:w="57" w:type="dxa"/>
            </w:tcMar>
            <w:vAlign w:val="center"/>
          </w:tcPr>
          <w:p w14:paraId="28AB9422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主要岗位群或技术领域举例</w:t>
            </w:r>
          </w:p>
        </w:tc>
        <w:tc>
          <w:tcPr>
            <w:tcW w:w="2738" w:type="dxa"/>
            <w:tcMar>
              <w:left w:w="57" w:type="dxa"/>
              <w:right w:w="57" w:type="dxa"/>
            </w:tcMar>
            <w:vAlign w:val="center"/>
          </w:tcPr>
          <w:p w14:paraId="1F0019D3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职业资格或职业技能等级证书举例</w:t>
            </w:r>
          </w:p>
        </w:tc>
      </w:tr>
      <w:tr w14:paraId="1F77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  <w:jc w:val="center"/>
        </w:trPr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 w14:paraId="3CC9CD14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互联网零售（5292）</w:t>
            </w:r>
          </w:p>
        </w:tc>
        <w:tc>
          <w:tcPr>
            <w:tcW w:w="2246" w:type="dxa"/>
            <w:tcMar>
              <w:left w:w="57" w:type="dxa"/>
              <w:right w:w="57" w:type="dxa"/>
            </w:tcMar>
            <w:vAlign w:val="center"/>
          </w:tcPr>
          <w:p w14:paraId="10E98CBD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销售人员（4-01-02）</w:t>
            </w:r>
          </w:p>
        </w:tc>
        <w:tc>
          <w:tcPr>
            <w:tcW w:w="2017" w:type="dxa"/>
            <w:tcMar>
              <w:left w:w="57" w:type="dxa"/>
              <w:right w:w="57" w:type="dxa"/>
            </w:tcMar>
            <w:vAlign w:val="center"/>
          </w:tcPr>
          <w:p w14:paraId="0EE4CA6F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运营主管、营销主管、客服主管、视觉营销设计师</w:t>
            </w:r>
          </w:p>
        </w:tc>
        <w:tc>
          <w:tcPr>
            <w:tcW w:w="2738" w:type="dxa"/>
            <w:tcMar>
              <w:left w:w="57" w:type="dxa"/>
              <w:right w:w="57" w:type="dxa"/>
            </w:tcMar>
            <w:vAlign w:val="center"/>
          </w:tcPr>
          <w:p w14:paraId="24F849C6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电子商务师、互联网营销师、1+X电子商务数据分析职业技能证书</w:t>
            </w:r>
          </w:p>
        </w:tc>
      </w:tr>
    </w:tbl>
    <w:p w14:paraId="1902A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420" w:firstLineChars="200"/>
        <w:jc w:val="center"/>
        <w:textAlignment w:val="auto"/>
      </w:pPr>
    </w:p>
    <w:p w14:paraId="348F996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（五）专业核心课程</w:t>
      </w:r>
    </w:p>
    <w:p w14:paraId="539D7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营销策划</w:t>
      </w:r>
      <w:r>
        <w:rPr>
          <w:rFonts w:hint="eastAsia" w:asciiTheme="minorEastAsia" w:hAnsiTheme="minorEastAsia" w:eastAsiaTheme="minorEastAsia"/>
          <w:sz w:val="28"/>
          <w:szCs w:val="28"/>
        </w:rPr>
        <w:t>、电子商务数据分析、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新媒体运营</w:t>
      </w:r>
      <w:r>
        <w:rPr>
          <w:rFonts w:hint="eastAsia" w:asciiTheme="minorEastAsia" w:hAnsiTheme="minorEastAsia" w:eastAsiaTheme="minorEastAsia"/>
          <w:sz w:val="28"/>
          <w:szCs w:val="28"/>
        </w:rPr>
        <w:t>、电子商务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安全技术与实践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电商项目综合训练</w:t>
      </w:r>
      <w:r>
        <w:rPr>
          <w:rFonts w:hint="eastAsia" w:asciiTheme="minorEastAsia" w:hAnsiTheme="minorEastAsia" w:eastAsiaTheme="minorEastAsia"/>
          <w:sz w:val="28"/>
          <w:szCs w:val="28"/>
        </w:rPr>
        <w:t>、新媒体文案策划与写作、客户服务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与管理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直播运营</w:t>
      </w:r>
      <w:r>
        <w:rPr>
          <w:rFonts w:hint="eastAsia" w:asciiTheme="minorEastAsia" w:hAnsiTheme="minorEastAsia" w:eastAsiaTheme="minorEastAsia"/>
          <w:sz w:val="28"/>
          <w:szCs w:val="28"/>
        </w:rPr>
        <w:t>等。</w:t>
      </w:r>
    </w:p>
    <w:p w14:paraId="6CB220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（六）毕业资格条件</w:t>
      </w:r>
    </w:p>
    <w:p w14:paraId="4ACF3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）毕业学分要求</w:t>
      </w:r>
    </w:p>
    <w:p w14:paraId="42924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为保证学生素质的全面提升，学生毕业共须修满153学分，其中通识必修课应修满40学分，通识选修课修满11学分（通识限选课修满7学分, 通识任选课修满4学分）；专业必修课修满41.5学分，专业限选课修满13.5学分；素质拓展与社会实践课程修满8学分，综合实践课程修满39学分。各类课程学分可根据《江苏海院学分积累、转换和认定办法》予以认定。</w:t>
      </w:r>
    </w:p>
    <w:p w14:paraId="3E0A5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）计算机证书要求</w:t>
      </w:r>
    </w:p>
    <w:p w14:paraId="618D1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计算机证书不做毕业资格要求。对考取全国计算机ATA证书或江苏省计算机等级考试一级证书的学生，可申请信息技术类课程免修，直接置换对应学分。</w:t>
      </w:r>
    </w:p>
    <w:p w14:paraId="6A372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）外语等级考试要求</w:t>
      </w:r>
    </w:p>
    <w:p w14:paraId="1F548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获得高校英语应用能力 B 级证书或取得 A 级50 分及以上成绩。对标准学制内未能取得规定外语等级考试要求学生，可以在标准学制后、弹性学制内申请参加学校组织的英语应用能力水平考试，合格后方可毕业。</w:t>
      </w:r>
    </w:p>
    <w:p w14:paraId="27ECF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鼓励学生考取更高等级英语证书，对考取比毕业要求等级高，且至少为高校英语应用能力A级证书或口语证书的学生，可以用证书置换高职英语课程2个学期学分，成绩认定为85分（A级或口语）、90分（四级）或95分（六级），也可申请课程免修。</w:t>
      </w:r>
    </w:p>
    <w:p w14:paraId="120DC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）职业技能或职业资格证书要求</w:t>
      </w:r>
    </w:p>
    <w:p w14:paraId="0C93C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职业技能或职业资格证书不做毕业资格要求。对考取1+X电子商务数据分析职业技能证书（中级）的学生，可申请置换《电子商务数据分析》课程学分，成绩直接认定为85分（不能申请免听）。</w:t>
      </w:r>
    </w:p>
    <w:p w14:paraId="36D5E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）学生思想品德考核要求</w:t>
      </w:r>
    </w:p>
    <w:p w14:paraId="6F50F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学生毕业前思想品德考核必须为合格以上，由学生工作处负责考核、鉴定。</w:t>
      </w:r>
    </w:p>
    <w:p w14:paraId="3A416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28"/>
          <w:szCs w:val="28"/>
        </w:rPr>
        <w:t>）体制健康测试要求</w:t>
      </w:r>
    </w:p>
    <w:p w14:paraId="32CA3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生体制健康测试严格执行“国家学生体质健康标准”，毕业前体质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 w14:paraId="3ED794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313" w:beforeLines="100" w:after="313" w:afterLines="10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bookmarkStart w:id="5" w:name="_Toc396497528"/>
      <w:bookmarkStart w:id="6" w:name="_Toc396497636"/>
      <w:bookmarkStart w:id="7" w:name="_Toc396497326"/>
      <w:bookmarkStart w:id="8" w:name="_Toc393236439"/>
      <w:bookmarkStart w:id="9" w:name="_Toc396501702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二、转专业录取办法</w:t>
      </w:r>
    </w:p>
    <w:p w14:paraId="3D7B7A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360" w:lineRule="auto"/>
        <w:ind w:firstLine="562" w:firstLineChars="200"/>
        <w:textAlignment w:val="auto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（一）接受对象</w:t>
      </w:r>
      <w:bookmarkStart w:id="10" w:name="_GoBack"/>
      <w:bookmarkEnd w:id="10"/>
    </w:p>
    <w:p w14:paraId="42857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textAlignment w:val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符合《江苏海事职业技术学院学生转专业管理办法（修订案）》遴选方案规定的相关学生。</w:t>
      </w:r>
    </w:p>
    <w:p w14:paraId="5B9366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（二）遴选方案</w:t>
      </w:r>
    </w:p>
    <w:p w14:paraId="2A39C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（1）</w:t>
      </w:r>
      <w:r>
        <w:rPr>
          <w:rFonts w:hint="eastAsia" w:asciiTheme="minorEastAsia" w:hAnsiTheme="minorEastAsia" w:eastAsiaTheme="minorEastAsia"/>
          <w:sz w:val="28"/>
          <w:szCs w:val="28"/>
        </w:rPr>
        <w:t>获得高校英语应用能力A级（理论或口语）证书或以上成绩。</w:t>
      </w:r>
    </w:p>
    <w:p w14:paraId="24EEA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（2）在校学习期间，所有科目考试分数不低于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70</w:t>
      </w:r>
      <w:r>
        <w:rPr>
          <w:rFonts w:hint="eastAsia" w:ascii="Times New Roman" w:hAnsi="Times New Roman"/>
          <w:sz w:val="28"/>
          <w:szCs w:val="28"/>
        </w:rPr>
        <w:t>分。</w:t>
      </w:r>
    </w:p>
    <w:p w14:paraId="54F47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</w:rPr>
        <w:t>（3）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在校学习期间，综合考核排名不能低于原班级的2/3。</w:t>
      </w:r>
    </w:p>
    <w:p w14:paraId="48298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/>
          <w:sz w:val="28"/>
          <w:szCs w:val="28"/>
          <w:lang w:eastAsia="zh-CN"/>
        </w:rPr>
        <w:t>）</w:t>
      </w:r>
      <w:r>
        <w:rPr>
          <w:rFonts w:hint="eastAsia" w:ascii="Times New Roman" w:hAnsi="Times New Roman"/>
          <w:sz w:val="28"/>
          <w:szCs w:val="28"/>
        </w:rPr>
        <w:t>在校学习期间，无处分记录。</w:t>
      </w:r>
    </w:p>
    <w:p w14:paraId="4E34C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/>
          <w:sz w:val="28"/>
          <w:szCs w:val="28"/>
        </w:rPr>
        <w:t>）当申请学生数大于可录取数时，以当前学期平均学分绩点排名为序，择优录取。</w:t>
      </w:r>
      <w:bookmarkEnd w:id="5"/>
      <w:bookmarkEnd w:id="6"/>
      <w:bookmarkEnd w:id="7"/>
      <w:bookmarkEnd w:id="8"/>
      <w:bookmarkEnd w:id="9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EE804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B076F0"/>
    <w:multiLevelType w:val="singleLevel"/>
    <w:tmpl w:val="54B076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3E0D"/>
    <w:rsid w:val="00114BF6"/>
    <w:rsid w:val="00120749"/>
    <w:rsid w:val="0012179F"/>
    <w:rsid w:val="001219A1"/>
    <w:rsid w:val="00143F35"/>
    <w:rsid w:val="00160373"/>
    <w:rsid w:val="00160624"/>
    <w:rsid w:val="00163CAB"/>
    <w:rsid w:val="00163D54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0F48"/>
    <w:rsid w:val="001E1361"/>
    <w:rsid w:val="001E138C"/>
    <w:rsid w:val="001E7CB9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360DF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CA1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2B5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120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67BD"/>
    <w:rsid w:val="00BA79E7"/>
    <w:rsid w:val="00BB1386"/>
    <w:rsid w:val="00BC1535"/>
    <w:rsid w:val="00BD12B2"/>
    <w:rsid w:val="00BD3AFB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0BC4"/>
    <w:rsid w:val="00C25D8C"/>
    <w:rsid w:val="00C25EC9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4B55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667AD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2DDF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C7064"/>
    <w:rsid w:val="00FD4FA5"/>
    <w:rsid w:val="00FD6043"/>
    <w:rsid w:val="00FE2E5F"/>
    <w:rsid w:val="00FE3F1A"/>
    <w:rsid w:val="00FF13E9"/>
    <w:rsid w:val="00FF21B3"/>
    <w:rsid w:val="00FF4A2F"/>
    <w:rsid w:val="10557C57"/>
    <w:rsid w:val="11344329"/>
    <w:rsid w:val="1BA509E5"/>
    <w:rsid w:val="1DAB71DA"/>
    <w:rsid w:val="22E56FB7"/>
    <w:rsid w:val="39E22AE7"/>
    <w:rsid w:val="48340C07"/>
    <w:rsid w:val="4A177E6D"/>
    <w:rsid w:val="5A945EAD"/>
    <w:rsid w:val="62505BB1"/>
    <w:rsid w:val="62CE53E0"/>
    <w:rsid w:val="63B45DF5"/>
    <w:rsid w:val="78307960"/>
    <w:rsid w:val="7BB8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qFormat/>
    <w:uiPriority w:val="0"/>
    <w:pPr>
      <w:spacing w:line="240" w:lineRule="auto"/>
      <w:ind w:firstLine="0" w:firstLineChars="0"/>
      <w:jc w:val="center"/>
    </w:pPr>
    <w:rPr>
      <w:color w:val="000000" w:themeColor="text1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1637</Words>
  <Characters>1689</Characters>
  <Lines>9</Lines>
  <Paragraphs>2</Paragraphs>
  <TotalTime>25</TotalTime>
  <ScaleCrop>false</ScaleCrop>
  <LinksUpToDate>false</LinksUpToDate>
  <CharactersWithSpaces>1695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虫小样</cp:lastModifiedBy>
  <cp:lastPrinted>2019-12-17T07:39:00Z</cp:lastPrinted>
  <dcterms:modified xsi:type="dcterms:W3CDTF">2024-12-18T08:19:01Z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2BA913437FC14B48ACC58E69A6ADE724_13</vt:lpwstr>
  </property>
</Properties>
</file>