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05C32">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港口与航运管理</w:t>
      </w:r>
      <w:r>
        <w:rPr>
          <w:rFonts w:ascii="微软雅黑" w:hAnsi="微软雅黑" w:eastAsia="微软雅黑"/>
          <w:b/>
          <w:sz w:val="36"/>
          <w:szCs w:val="36"/>
        </w:rPr>
        <w:t>专业</w:t>
      </w:r>
    </w:p>
    <w:p w14:paraId="3085B8E4">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2023-2024学年第</w:t>
      </w:r>
      <w:r>
        <w:rPr>
          <w:rFonts w:hint="eastAsia" w:ascii="微软雅黑" w:hAnsi="微软雅黑" w:eastAsia="微软雅黑"/>
          <w:b/>
          <w:sz w:val="36"/>
          <w:szCs w:val="36"/>
          <w:lang w:val="en-US" w:eastAsia="zh-CN"/>
        </w:rPr>
        <w:t>一</w:t>
      </w:r>
      <w:bookmarkStart w:id="30" w:name="_GoBack"/>
      <w:bookmarkEnd w:id="30"/>
      <w:r>
        <w:rPr>
          <w:rFonts w:hint="eastAsia" w:ascii="微软雅黑" w:hAnsi="微软雅黑" w:eastAsia="微软雅黑"/>
          <w:b/>
          <w:sz w:val="36"/>
          <w:szCs w:val="36"/>
        </w:rPr>
        <w:t>学期转专业录取办法</w:t>
      </w:r>
    </w:p>
    <w:p w14:paraId="3F44D5A1">
      <w:pPr>
        <w:pStyle w:val="2"/>
        <w:spacing w:before="312" w:after="312" w:line="360" w:lineRule="auto"/>
        <w:ind w:firstLine="560" w:firstLineChars="200"/>
        <w:rPr>
          <w:rFonts w:asciiTheme="minorEastAsia" w:hAnsiTheme="minorEastAsia" w:eastAsiaTheme="minorEastAsia"/>
          <w:color w:val="auto"/>
          <w:sz w:val="28"/>
          <w:szCs w:val="28"/>
        </w:rPr>
      </w:pPr>
      <w:bookmarkStart w:id="0" w:name="_Toc396497526"/>
      <w:bookmarkStart w:id="1" w:name="_Toc396497324"/>
      <w:bookmarkStart w:id="2" w:name="_Toc393236437"/>
      <w:bookmarkStart w:id="3" w:name="_Toc396497634"/>
      <w:bookmarkStart w:id="4" w:name="_Toc396501700"/>
      <w:r>
        <w:rPr>
          <w:rFonts w:hint="eastAsia" w:asciiTheme="minorEastAsia" w:hAnsiTheme="minorEastAsia" w:eastAsiaTheme="minorEastAsia"/>
          <w:color w:val="auto"/>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学籍管理办法》制定本办法。</w:t>
      </w:r>
    </w:p>
    <w:bookmarkEnd w:id="0"/>
    <w:bookmarkEnd w:id="1"/>
    <w:bookmarkEnd w:id="2"/>
    <w:bookmarkEnd w:id="3"/>
    <w:bookmarkEnd w:id="4"/>
    <w:p w14:paraId="7814B8D1">
      <w:pPr>
        <w:pStyle w:val="2"/>
        <w:spacing w:before="312" w:after="312"/>
        <w:rPr>
          <w:color w:val="auto"/>
        </w:rPr>
      </w:pPr>
      <w:r>
        <w:rPr>
          <w:rFonts w:hint="eastAsia"/>
          <w:color w:val="auto"/>
        </w:rPr>
        <w:t>一、专业基本信息</w:t>
      </w:r>
    </w:p>
    <w:p w14:paraId="16C7BE5B">
      <w:pPr>
        <w:pStyle w:val="3"/>
        <w:spacing w:before="156" w:after="156"/>
        <w:rPr>
          <w:color w:val="auto"/>
        </w:rPr>
      </w:pPr>
      <w:bookmarkStart w:id="5" w:name="_Toc396497635"/>
      <w:bookmarkStart w:id="6" w:name="_Toc396501701"/>
      <w:bookmarkStart w:id="7" w:name="_Toc396497527"/>
      <w:bookmarkStart w:id="8" w:name="_Toc396497325"/>
      <w:bookmarkStart w:id="9" w:name="_Toc393236438"/>
      <w:r>
        <w:rPr>
          <w:rFonts w:hint="eastAsia"/>
          <w:color w:val="auto"/>
        </w:rPr>
        <w:t>（一）专业名称</w:t>
      </w:r>
      <w:bookmarkEnd w:id="5"/>
      <w:bookmarkEnd w:id="6"/>
      <w:bookmarkEnd w:id="7"/>
      <w:bookmarkEnd w:id="8"/>
      <w:bookmarkEnd w:id="9"/>
    </w:p>
    <w:tbl>
      <w:tblPr>
        <w:tblStyle w:val="12"/>
        <w:tblW w:w="878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407"/>
        <w:gridCol w:w="2691"/>
        <w:gridCol w:w="2691"/>
      </w:tblGrid>
      <w:tr w14:paraId="2850F2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7" w:hRule="atLeast"/>
          <w:jc w:val="center"/>
        </w:trPr>
        <w:tc>
          <w:tcPr>
            <w:tcW w:w="3407" w:type="dxa"/>
            <w:vAlign w:val="center"/>
          </w:tcPr>
          <w:p w14:paraId="48E63A40">
            <w:pPr>
              <w:jc w:val="center"/>
              <w:rPr>
                <w:rFonts w:hAnsi="宋体"/>
                <w:b/>
                <w:bCs/>
                <w:sz w:val="24"/>
              </w:rPr>
            </w:pPr>
            <w:r>
              <w:rPr>
                <w:rFonts w:hint="eastAsia" w:hAnsi="宋体"/>
                <w:b/>
                <w:bCs/>
                <w:sz w:val="24"/>
              </w:rPr>
              <w:t>专业名称</w:t>
            </w:r>
          </w:p>
          <w:p w14:paraId="557F10D8">
            <w:pPr>
              <w:jc w:val="center"/>
              <w:rPr>
                <w:b/>
                <w:bCs/>
                <w:sz w:val="24"/>
              </w:rPr>
            </w:pPr>
            <w:r>
              <w:rPr>
                <w:rFonts w:hint="eastAsia" w:hAnsi="宋体"/>
                <w:b/>
                <w:bCs/>
                <w:sz w:val="24"/>
              </w:rPr>
              <w:t>（代码）</w:t>
            </w:r>
          </w:p>
        </w:tc>
        <w:tc>
          <w:tcPr>
            <w:tcW w:w="2691" w:type="dxa"/>
            <w:vAlign w:val="center"/>
          </w:tcPr>
          <w:p w14:paraId="66087C2A">
            <w:pPr>
              <w:jc w:val="center"/>
              <w:rPr>
                <w:b/>
                <w:bCs/>
                <w:sz w:val="24"/>
              </w:rPr>
            </w:pPr>
            <w:r>
              <w:rPr>
                <w:rFonts w:hint="eastAsia"/>
                <w:b/>
                <w:bCs/>
                <w:sz w:val="24"/>
              </w:rPr>
              <w:t>所属专业大类</w:t>
            </w:r>
          </w:p>
          <w:p w14:paraId="2115CE25">
            <w:pPr>
              <w:jc w:val="center"/>
              <w:rPr>
                <w:b/>
                <w:bCs/>
                <w:sz w:val="24"/>
              </w:rPr>
            </w:pPr>
            <w:r>
              <w:rPr>
                <w:rFonts w:hint="eastAsia"/>
                <w:b/>
                <w:bCs/>
                <w:sz w:val="24"/>
              </w:rPr>
              <w:t>（代码）</w:t>
            </w:r>
          </w:p>
        </w:tc>
        <w:tc>
          <w:tcPr>
            <w:tcW w:w="2691" w:type="dxa"/>
            <w:vAlign w:val="center"/>
          </w:tcPr>
          <w:p w14:paraId="7388DA69">
            <w:pPr>
              <w:jc w:val="center"/>
              <w:rPr>
                <w:b/>
                <w:bCs/>
                <w:sz w:val="24"/>
              </w:rPr>
            </w:pPr>
            <w:r>
              <w:rPr>
                <w:rFonts w:hint="eastAsia"/>
                <w:b/>
                <w:bCs/>
                <w:sz w:val="24"/>
              </w:rPr>
              <w:t>所属专业类</w:t>
            </w:r>
          </w:p>
          <w:p w14:paraId="64816555">
            <w:pPr>
              <w:jc w:val="center"/>
              <w:rPr>
                <w:b/>
                <w:bCs/>
                <w:sz w:val="24"/>
              </w:rPr>
            </w:pPr>
            <w:r>
              <w:rPr>
                <w:rFonts w:hint="eastAsia"/>
                <w:b/>
                <w:bCs/>
                <w:sz w:val="24"/>
              </w:rPr>
              <w:t>（代码）</w:t>
            </w:r>
          </w:p>
        </w:tc>
      </w:tr>
      <w:tr w14:paraId="2A2595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407" w:type="dxa"/>
            <w:vAlign w:val="center"/>
          </w:tcPr>
          <w:p w14:paraId="6DFE25F8">
            <w:pPr>
              <w:widowControl/>
              <w:jc w:val="center"/>
              <w:rPr>
                <w:rFonts w:ascii="宋体" w:hAnsi="宋体"/>
                <w:sz w:val="24"/>
              </w:rPr>
            </w:pPr>
            <w:r>
              <w:rPr>
                <w:rFonts w:hint="eastAsia" w:ascii="宋体" w:hAnsi="宋体"/>
                <w:sz w:val="24"/>
              </w:rPr>
              <w:t>港口与航运管理专业</w:t>
            </w:r>
            <w:r>
              <w:rPr>
                <w:rFonts w:hint="eastAsia" w:ascii="宋体" w:hAnsi="宋体" w:cs="Calibri"/>
                <w:sz w:val="24"/>
              </w:rPr>
              <w:t>(</w:t>
            </w:r>
            <w:r>
              <w:rPr>
                <w:rFonts w:hint="eastAsia" w:ascii="宋体" w:hAnsi="宋体"/>
                <w:sz w:val="24"/>
              </w:rPr>
              <w:t>5</w:t>
            </w:r>
            <w:r>
              <w:rPr>
                <w:rFonts w:ascii="宋体" w:hAnsi="宋体"/>
                <w:sz w:val="24"/>
              </w:rPr>
              <w:t>0030</w:t>
            </w:r>
            <w:r>
              <w:rPr>
                <w:rFonts w:hint="eastAsia" w:ascii="宋体" w:hAnsi="宋体"/>
                <w:sz w:val="24"/>
              </w:rPr>
              <w:t>7</w:t>
            </w:r>
            <w:r>
              <w:rPr>
                <w:rFonts w:hint="eastAsia" w:ascii="宋体" w:hAnsi="宋体" w:cs="Calibri"/>
                <w:sz w:val="24"/>
              </w:rPr>
              <w:t>)</w:t>
            </w:r>
          </w:p>
        </w:tc>
        <w:tc>
          <w:tcPr>
            <w:tcW w:w="2691" w:type="dxa"/>
            <w:vAlign w:val="center"/>
          </w:tcPr>
          <w:p w14:paraId="74E09865">
            <w:pPr>
              <w:widowControl/>
              <w:jc w:val="center"/>
              <w:rPr>
                <w:rFonts w:ascii="宋体" w:hAnsi="宋体"/>
                <w:sz w:val="24"/>
              </w:rPr>
            </w:pPr>
            <w:r>
              <w:rPr>
                <w:rFonts w:hint="eastAsia" w:ascii="宋体" w:hAnsi="宋体"/>
                <w:sz w:val="24"/>
              </w:rPr>
              <w:t>交通运输</w:t>
            </w:r>
          </w:p>
          <w:p w14:paraId="359477A6">
            <w:pPr>
              <w:widowControl/>
              <w:jc w:val="center"/>
              <w:rPr>
                <w:rFonts w:ascii="宋体" w:hAnsi="宋体"/>
                <w:sz w:val="24"/>
              </w:rPr>
            </w:pPr>
            <w:r>
              <w:rPr>
                <w:rFonts w:hint="eastAsia" w:ascii="宋体" w:hAnsi="宋体"/>
                <w:sz w:val="24"/>
              </w:rPr>
              <w:t>（5</w:t>
            </w:r>
            <w:r>
              <w:rPr>
                <w:rFonts w:ascii="宋体" w:hAnsi="宋体"/>
                <w:sz w:val="24"/>
              </w:rPr>
              <w:t>0</w:t>
            </w:r>
            <w:r>
              <w:rPr>
                <w:rFonts w:hint="eastAsia" w:ascii="宋体" w:hAnsi="宋体"/>
                <w:sz w:val="24"/>
              </w:rPr>
              <w:t>）</w:t>
            </w:r>
          </w:p>
        </w:tc>
        <w:tc>
          <w:tcPr>
            <w:tcW w:w="2691" w:type="dxa"/>
            <w:vAlign w:val="center"/>
          </w:tcPr>
          <w:p w14:paraId="0CDA9269">
            <w:pPr>
              <w:widowControl/>
              <w:jc w:val="center"/>
              <w:rPr>
                <w:rFonts w:ascii="宋体" w:hAnsi="宋体"/>
                <w:sz w:val="24"/>
              </w:rPr>
            </w:pPr>
            <w:r>
              <w:rPr>
                <w:rFonts w:hint="eastAsia" w:ascii="宋体" w:hAnsi="宋体"/>
                <w:sz w:val="24"/>
              </w:rPr>
              <w:t>水上运输</w:t>
            </w:r>
          </w:p>
          <w:p w14:paraId="7D36035C">
            <w:pPr>
              <w:widowControl/>
              <w:jc w:val="center"/>
              <w:rPr>
                <w:rFonts w:ascii="宋体" w:hAnsi="宋体"/>
                <w:sz w:val="24"/>
              </w:rPr>
            </w:pPr>
            <w:r>
              <w:rPr>
                <w:rFonts w:hint="eastAsia" w:ascii="宋体" w:hAnsi="宋体"/>
                <w:sz w:val="24"/>
              </w:rPr>
              <w:t>（5</w:t>
            </w:r>
            <w:r>
              <w:rPr>
                <w:rFonts w:ascii="宋体" w:hAnsi="宋体"/>
                <w:sz w:val="24"/>
              </w:rPr>
              <w:t>003</w:t>
            </w:r>
            <w:r>
              <w:rPr>
                <w:rFonts w:hint="eastAsia" w:ascii="宋体" w:hAnsi="宋体"/>
                <w:sz w:val="24"/>
              </w:rPr>
              <w:t>）</w:t>
            </w:r>
          </w:p>
        </w:tc>
      </w:tr>
    </w:tbl>
    <w:p w14:paraId="2348588C"/>
    <w:p w14:paraId="636C0BEA">
      <w:pPr>
        <w:pStyle w:val="3"/>
        <w:spacing w:before="156" w:after="156"/>
        <w:rPr>
          <w:color w:val="auto"/>
        </w:rPr>
      </w:pPr>
      <w:r>
        <w:rPr>
          <w:rFonts w:hint="eastAsia"/>
          <w:color w:val="auto"/>
        </w:rPr>
        <w:t>（二）招生对象</w:t>
      </w:r>
    </w:p>
    <w:p w14:paraId="317E4617">
      <w:pPr>
        <w:adjustRightInd w:val="0"/>
        <w:snapToGrid w:val="0"/>
        <w:spacing w:line="360" w:lineRule="auto"/>
        <w:ind w:firstLine="480" w:firstLineChars="200"/>
        <w:rPr>
          <w:color w:val="000000"/>
          <w:sz w:val="24"/>
        </w:rPr>
      </w:pPr>
      <w:bookmarkStart w:id="10" w:name="_Toc396501703"/>
      <w:bookmarkStart w:id="11" w:name="_Toc396497529"/>
      <w:bookmarkStart w:id="12" w:name="_Toc393236440"/>
      <w:bookmarkStart w:id="13" w:name="_Toc396497637"/>
      <w:bookmarkStart w:id="14" w:name="_Toc396497327"/>
      <w:r>
        <w:rPr>
          <w:rFonts w:hint="eastAsia"/>
          <w:color w:val="000000"/>
          <w:sz w:val="24"/>
        </w:rPr>
        <w:t>高中阶段教育毕业生或具有同等学力者</w:t>
      </w:r>
    </w:p>
    <w:p w14:paraId="43EACB45">
      <w:pPr>
        <w:pStyle w:val="3"/>
        <w:spacing w:before="156" w:after="156"/>
        <w:rPr>
          <w:color w:val="auto"/>
        </w:rPr>
      </w:pPr>
      <w:r>
        <w:rPr>
          <w:rFonts w:hint="eastAsia"/>
          <w:color w:val="auto"/>
        </w:rPr>
        <w:t>（三）学制</w:t>
      </w:r>
      <w:bookmarkEnd w:id="10"/>
      <w:bookmarkEnd w:id="11"/>
      <w:bookmarkEnd w:id="12"/>
      <w:bookmarkEnd w:id="13"/>
      <w:bookmarkEnd w:id="14"/>
    </w:p>
    <w:p w14:paraId="4CFA95BC">
      <w:pPr>
        <w:adjustRightInd w:val="0"/>
        <w:snapToGrid w:val="0"/>
        <w:spacing w:line="360" w:lineRule="auto"/>
        <w:ind w:firstLine="480" w:firstLineChars="200"/>
        <w:rPr>
          <w:sz w:val="24"/>
        </w:rPr>
      </w:pPr>
      <w:r>
        <w:rPr>
          <w:rFonts w:hint="eastAsia"/>
          <w:sz w:val="24"/>
        </w:rPr>
        <w:t>学制3年，</w:t>
      </w:r>
      <w:r>
        <w:rPr>
          <w:rFonts w:hint="eastAsia" w:ascii="宋体"/>
          <w:color w:val="000000"/>
          <w:sz w:val="24"/>
        </w:rPr>
        <w:t>实行弹性学制，</w:t>
      </w:r>
      <w:r>
        <w:rPr>
          <w:rFonts w:hint="eastAsia"/>
          <w:sz w:val="24"/>
        </w:rPr>
        <w:t>最长修业年限6年</w:t>
      </w:r>
    </w:p>
    <w:p w14:paraId="4AB04B32">
      <w:pPr>
        <w:pStyle w:val="3"/>
        <w:spacing w:before="156" w:after="156"/>
        <w:rPr>
          <w:color w:val="auto"/>
        </w:rPr>
      </w:pPr>
      <w:bookmarkStart w:id="15" w:name="_Toc396497530"/>
      <w:bookmarkStart w:id="16" w:name="_Toc393236441"/>
      <w:bookmarkStart w:id="17" w:name="_Toc396501704"/>
      <w:bookmarkStart w:id="18" w:name="_Toc396497638"/>
      <w:bookmarkStart w:id="19" w:name="_Toc396497328"/>
      <w:r>
        <w:rPr>
          <w:rFonts w:hint="eastAsia"/>
          <w:color w:val="auto"/>
        </w:rPr>
        <w:t>（四）教育类型和学历层次</w:t>
      </w:r>
      <w:bookmarkEnd w:id="15"/>
      <w:bookmarkEnd w:id="16"/>
      <w:bookmarkEnd w:id="17"/>
      <w:bookmarkEnd w:id="18"/>
      <w:bookmarkEnd w:id="19"/>
    </w:p>
    <w:p w14:paraId="501C15C2">
      <w:pPr>
        <w:adjustRightInd w:val="0"/>
        <w:snapToGrid w:val="0"/>
        <w:spacing w:line="360" w:lineRule="auto"/>
        <w:ind w:firstLine="480" w:firstLineChars="200"/>
        <w:rPr>
          <w:sz w:val="24"/>
        </w:rPr>
      </w:pPr>
      <w:r>
        <w:rPr>
          <w:rFonts w:hint="eastAsia"/>
          <w:sz w:val="24"/>
        </w:rPr>
        <w:t>普通高等职业教育、专科</w:t>
      </w:r>
    </w:p>
    <w:p w14:paraId="43D2C65B">
      <w:pPr>
        <w:pStyle w:val="2"/>
        <w:spacing w:before="312" w:after="312"/>
        <w:rPr>
          <w:color w:val="auto"/>
        </w:rPr>
      </w:pPr>
      <w:r>
        <w:t>二、</w:t>
      </w:r>
      <w:bookmarkStart w:id="20" w:name="_Toc393236445"/>
      <w:bookmarkStart w:id="21" w:name="_Toc396501708"/>
      <w:bookmarkStart w:id="22" w:name="_Toc396497332"/>
      <w:bookmarkStart w:id="23" w:name="_Toc396497534"/>
      <w:bookmarkStart w:id="24" w:name="_Toc396497642"/>
      <w:r>
        <w:rPr>
          <w:rFonts w:hint="eastAsia"/>
          <w:color w:val="auto"/>
        </w:rPr>
        <w:t>职业</w:t>
      </w:r>
      <w:bookmarkEnd w:id="20"/>
      <w:bookmarkEnd w:id="21"/>
      <w:bookmarkEnd w:id="22"/>
      <w:bookmarkEnd w:id="23"/>
      <w:bookmarkEnd w:id="24"/>
      <w:r>
        <w:rPr>
          <w:rFonts w:hint="eastAsia"/>
          <w:color w:val="auto"/>
        </w:rPr>
        <w:t>岗位及发展</w:t>
      </w:r>
    </w:p>
    <w:p w14:paraId="3E7AE4CD">
      <w:pPr>
        <w:adjustRightInd w:val="0"/>
        <w:snapToGrid w:val="0"/>
        <w:spacing w:line="360" w:lineRule="auto"/>
        <w:ind w:left="105" w:leftChars="50" w:firstLine="480" w:firstLineChars="200"/>
        <w:rPr>
          <w:sz w:val="24"/>
        </w:rPr>
      </w:pPr>
      <w:r>
        <w:rPr>
          <w:rFonts w:hint="eastAsia"/>
          <w:sz w:val="24"/>
        </w:rPr>
        <w:t>学生在港口、航运、代理三个对口主要就业群的单位、部门和岗位中工作，面向的岗位及职业生涯路径见表</w:t>
      </w:r>
      <w:r>
        <w:rPr>
          <w:sz w:val="24"/>
        </w:rPr>
        <w:t>1</w:t>
      </w:r>
      <w:r>
        <w:rPr>
          <w:rFonts w:hint="eastAsia"/>
          <w:sz w:val="24"/>
        </w:rPr>
        <w:t>、图</w:t>
      </w:r>
      <w:r>
        <w:rPr>
          <w:sz w:val="24"/>
        </w:rPr>
        <w:t>1</w:t>
      </w:r>
      <w:r>
        <w:rPr>
          <w:rFonts w:hint="eastAsia"/>
          <w:sz w:val="24"/>
        </w:rPr>
        <w:t>。</w:t>
      </w:r>
    </w:p>
    <w:p w14:paraId="5DC39858">
      <w:pPr>
        <w:pStyle w:val="3"/>
        <w:spacing w:before="156" w:after="156"/>
        <w:rPr>
          <w:color w:val="auto"/>
        </w:rPr>
      </w:pPr>
      <w:r>
        <w:rPr>
          <w:rFonts w:hint="eastAsia"/>
          <w:color w:val="auto"/>
        </w:rPr>
        <w:t>（一）面向岗位</w:t>
      </w:r>
    </w:p>
    <w:p w14:paraId="4DA58800">
      <w:pPr>
        <w:tabs>
          <w:tab w:val="left" w:pos="720"/>
        </w:tabs>
        <w:adjustRightInd w:val="0"/>
        <w:spacing w:line="480" w:lineRule="exact"/>
        <w:jc w:val="center"/>
      </w:pPr>
      <w:r>
        <w:rPr>
          <w:rFonts w:hint="eastAsia" w:ascii="宋体" w:hAnsi="宋体"/>
          <w:sz w:val="24"/>
        </w:rPr>
        <w:t>表</w:t>
      </w:r>
      <w:r>
        <w:rPr>
          <w:rFonts w:ascii="宋体" w:hAnsi="宋体"/>
          <w:sz w:val="24"/>
        </w:rPr>
        <w:t xml:space="preserve">1 </w:t>
      </w:r>
      <w:r>
        <w:rPr>
          <w:rFonts w:hint="eastAsia" w:ascii="宋体" w:hAnsi="宋体"/>
          <w:sz w:val="24"/>
        </w:rPr>
        <w:t>职业岗位与职业资格证书</w:t>
      </w:r>
    </w:p>
    <w:tbl>
      <w:tblPr>
        <w:tblStyle w:val="12"/>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260"/>
        <w:gridCol w:w="1800"/>
        <w:gridCol w:w="1800"/>
        <w:gridCol w:w="720"/>
        <w:gridCol w:w="2480"/>
      </w:tblGrid>
      <w:tr w14:paraId="27DE5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468" w:type="dxa"/>
            <w:vMerge w:val="restart"/>
            <w:vAlign w:val="center"/>
          </w:tcPr>
          <w:p w14:paraId="5BED108D">
            <w:pPr>
              <w:adjustRightInd w:val="0"/>
              <w:spacing w:line="320" w:lineRule="exact"/>
              <w:jc w:val="center"/>
              <w:textAlignment w:val="baseline"/>
              <w:rPr>
                <w:rFonts w:ascii="宋体"/>
                <w:b/>
                <w:bCs/>
                <w:sz w:val="24"/>
                <w:szCs w:val="24"/>
              </w:rPr>
            </w:pPr>
            <w:r>
              <w:rPr>
                <w:rFonts w:hint="eastAsia" w:ascii="宋体" w:hAnsi="宋体"/>
                <w:b/>
                <w:bCs/>
                <w:sz w:val="24"/>
                <w:szCs w:val="24"/>
              </w:rPr>
              <w:t>序号</w:t>
            </w:r>
          </w:p>
        </w:tc>
        <w:tc>
          <w:tcPr>
            <w:tcW w:w="1260" w:type="dxa"/>
            <w:vMerge w:val="restart"/>
            <w:vAlign w:val="center"/>
          </w:tcPr>
          <w:p w14:paraId="504C470E">
            <w:pPr>
              <w:adjustRightInd w:val="0"/>
              <w:spacing w:line="320" w:lineRule="exact"/>
              <w:jc w:val="center"/>
              <w:textAlignment w:val="baseline"/>
              <w:rPr>
                <w:rFonts w:ascii="宋体"/>
                <w:b/>
                <w:bCs/>
                <w:sz w:val="36"/>
                <w:szCs w:val="24"/>
                <w:vertAlign w:val="superscript"/>
              </w:rPr>
            </w:pPr>
            <w:r>
              <w:rPr>
                <w:rFonts w:hint="eastAsia" w:ascii="宋体" w:hAnsi="宋体"/>
                <w:b/>
                <w:bCs/>
                <w:sz w:val="24"/>
                <w:szCs w:val="24"/>
              </w:rPr>
              <w:t>专业方向</w:t>
            </w:r>
          </w:p>
        </w:tc>
        <w:tc>
          <w:tcPr>
            <w:tcW w:w="1800" w:type="dxa"/>
            <w:vMerge w:val="restart"/>
            <w:vAlign w:val="center"/>
          </w:tcPr>
          <w:p w14:paraId="1A0B0FAE">
            <w:pPr>
              <w:adjustRightInd w:val="0"/>
              <w:spacing w:line="320" w:lineRule="exact"/>
              <w:jc w:val="center"/>
              <w:textAlignment w:val="baseline"/>
              <w:rPr>
                <w:rFonts w:ascii="宋体"/>
                <w:b/>
                <w:bCs/>
                <w:sz w:val="24"/>
                <w:szCs w:val="24"/>
              </w:rPr>
            </w:pPr>
            <w:r>
              <w:rPr>
                <w:rFonts w:hint="eastAsia" w:ascii="宋体" w:hAnsi="宋体"/>
                <w:b/>
                <w:bCs/>
                <w:sz w:val="24"/>
                <w:szCs w:val="24"/>
              </w:rPr>
              <w:t>职业岗位</w:t>
            </w:r>
          </w:p>
        </w:tc>
        <w:tc>
          <w:tcPr>
            <w:tcW w:w="5000" w:type="dxa"/>
            <w:gridSpan w:val="3"/>
            <w:vAlign w:val="center"/>
          </w:tcPr>
          <w:p w14:paraId="42C52F00">
            <w:pPr>
              <w:adjustRightInd w:val="0"/>
              <w:spacing w:line="320" w:lineRule="exact"/>
              <w:jc w:val="center"/>
              <w:textAlignment w:val="baseline"/>
              <w:rPr>
                <w:rFonts w:ascii="宋体"/>
                <w:b/>
                <w:bCs/>
                <w:sz w:val="24"/>
                <w:szCs w:val="24"/>
              </w:rPr>
            </w:pPr>
            <w:r>
              <w:rPr>
                <w:rFonts w:hint="eastAsia" w:ascii="宋体" w:hAnsi="宋体"/>
                <w:b/>
                <w:bCs/>
                <w:sz w:val="24"/>
                <w:szCs w:val="24"/>
              </w:rPr>
              <w:t>职业资格</w:t>
            </w:r>
          </w:p>
        </w:tc>
      </w:tr>
      <w:tr w14:paraId="7A0EA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blHeader/>
          <w:jc w:val="center"/>
        </w:trPr>
        <w:tc>
          <w:tcPr>
            <w:tcW w:w="468" w:type="dxa"/>
            <w:vMerge w:val="continue"/>
            <w:vAlign w:val="center"/>
          </w:tcPr>
          <w:p w14:paraId="2197F265">
            <w:pPr>
              <w:adjustRightInd w:val="0"/>
              <w:spacing w:line="320" w:lineRule="exact"/>
              <w:jc w:val="center"/>
              <w:textAlignment w:val="baseline"/>
              <w:rPr>
                <w:rFonts w:ascii="宋体"/>
                <w:b/>
                <w:bCs/>
                <w:sz w:val="24"/>
                <w:szCs w:val="24"/>
              </w:rPr>
            </w:pPr>
          </w:p>
        </w:tc>
        <w:tc>
          <w:tcPr>
            <w:tcW w:w="1260" w:type="dxa"/>
            <w:vMerge w:val="continue"/>
            <w:vAlign w:val="center"/>
          </w:tcPr>
          <w:p w14:paraId="501E8E70">
            <w:pPr>
              <w:adjustRightInd w:val="0"/>
              <w:spacing w:line="320" w:lineRule="exact"/>
              <w:jc w:val="center"/>
              <w:textAlignment w:val="baseline"/>
              <w:rPr>
                <w:rFonts w:ascii="宋体"/>
                <w:b/>
                <w:bCs/>
                <w:sz w:val="24"/>
                <w:szCs w:val="24"/>
              </w:rPr>
            </w:pPr>
          </w:p>
        </w:tc>
        <w:tc>
          <w:tcPr>
            <w:tcW w:w="1800" w:type="dxa"/>
            <w:vMerge w:val="continue"/>
            <w:vAlign w:val="center"/>
          </w:tcPr>
          <w:p w14:paraId="6EEF2EF5">
            <w:pPr>
              <w:adjustRightInd w:val="0"/>
              <w:spacing w:line="320" w:lineRule="exact"/>
              <w:jc w:val="center"/>
              <w:textAlignment w:val="baseline"/>
              <w:rPr>
                <w:rFonts w:ascii="宋体"/>
                <w:b/>
                <w:bCs/>
                <w:sz w:val="24"/>
                <w:szCs w:val="24"/>
              </w:rPr>
            </w:pPr>
          </w:p>
        </w:tc>
        <w:tc>
          <w:tcPr>
            <w:tcW w:w="1800" w:type="dxa"/>
            <w:vAlign w:val="center"/>
          </w:tcPr>
          <w:p w14:paraId="18FEAAA0">
            <w:pPr>
              <w:adjustRightInd w:val="0"/>
              <w:spacing w:line="320" w:lineRule="exact"/>
              <w:jc w:val="center"/>
              <w:textAlignment w:val="baseline"/>
              <w:rPr>
                <w:rFonts w:ascii="宋体"/>
                <w:b/>
                <w:bCs/>
                <w:sz w:val="24"/>
                <w:szCs w:val="24"/>
              </w:rPr>
            </w:pPr>
            <w:r>
              <w:rPr>
                <w:rFonts w:hint="eastAsia" w:ascii="宋体" w:hAnsi="宋体"/>
                <w:b/>
                <w:bCs/>
                <w:sz w:val="24"/>
                <w:szCs w:val="24"/>
              </w:rPr>
              <w:t>证书名称</w:t>
            </w:r>
          </w:p>
        </w:tc>
        <w:tc>
          <w:tcPr>
            <w:tcW w:w="720" w:type="dxa"/>
            <w:vAlign w:val="center"/>
          </w:tcPr>
          <w:p w14:paraId="1546F7DC">
            <w:pPr>
              <w:adjustRightInd w:val="0"/>
              <w:spacing w:line="320" w:lineRule="exact"/>
              <w:jc w:val="center"/>
              <w:textAlignment w:val="baseline"/>
              <w:rPr>
                <w:rFonts w:ascii="宋体"/>
                <w:b/>
                <w:bCs/>
                <w:sz w:val="24"/>
                <w:szCs w:val="24"/>
              </w:rPr>
            </w:pPr>
            <w:r>
              <w:rPr>
                <w:rFonts w:hint="eastAsia" w:ascii="宋体" w:hAnsi="宋体"/>
                <w:b/>
                <w:bCs/>
                <w:sz w:val="24"/>
                <w:szCs w:val="24"/>
              </w:rPr>
              <w:t>等级</w:t>
            </w:r>
          </w:p>
        </w:tc>
        <w:tc>
          <w:tcPr>
            <w:tcW w:w="2480" w:type="dxa"/>
            <w:vAlign w:val="center"/>
          </w:tcPr>
          <w:p w14:paraId="53E0F2EE">
            <w:pPr>
              <w:adjustRightInd w:val="0"/>
              <w:spacing w:line="320" w:lineRule="exact"/>
              <w:jc w:val="center"/>
              <w:textAlignment w:val="baseline"/>
              <w:rPr>
                <w:rFonts w:ascii="宋体"/>
                <w:b/>
                <w:bCs/>
                <w:sz w:val="24"/>
                <w:szCs w:val="24"/>
              </w:rPr>
            </w:pPr>
            <w:r>
              <w:rPr>
                <w:rFonts w:hint="eastAsia" w:ascii="宋体" w:hAnsi="宋体"/>
                <w:b/>
                <w:bCs/>
                <w:sz w:val="24"/>
                <w:szCs w:val="24"/>
              </w:rPr>
              <w:t>颁证单位</w:t>
            </w:r>
          </w:p>
        </w:tc>
      </w:tr>
      <w:tr w14:paraId="16745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Align w:val="center"/>
          </w:tcPr>
          <w:p w14:paraId="2196C1B5">
            <w:pPr>
              <w:adjustRightInd w:val="0"/>
              <w:spacing w:line="320" w:lineRule="exact"/>
              <w:jc w:val="center"/>
              <w:textAlignment w:val="baseline"/>
              <w:rPr>
                <w:rFonts w:ascii="宋体"/>
                <w:szCs w:val="21"/>
              </w:rPr>
            </w:pPr>
            <w:r>
              <w:rPr>
                <w:rFonts w:ascii="宋体" w:hAnsi="宋体"/>
                <w:szCs w:val="21"/>
              </w:rPr>
              <w:t>1</w:t>
            </w:r>
          </w:p>
        </w:tc>
        <w:tc>
          <w:tcPr>
            <w:tcW w:w="1260" w:type="dxa"/>
            <w:vAlign w:val="center"/>
          </w:tcPr>
          <w:p w14:paraId="0CED56A4">
            <w:pPr>
              <w:adjustRightInd w:val="0"/>
              <w:snapToGrid w:val="0"/>
              <w:spacing w:line="320" w:lineRule="exact"/>
              <w:jc w:val="center"/>
              <w:rPr>
                <w:rFonts w:ascii="宋体"/>
                <w:b/>
                <w:szCs w:val="21"/>
              </w:rPr>
            </w:pPr>
            <w:r>
              <w:rPr>
                <w:rFonts w:hint="eastAsia" w:ascii="宋体" w:hAnsi="宋体"/>
                <w:b/>
                <w:szCs w:val="21"/>
              </w:rPr>
              <w:t>港口生产服务</w:t>
            </w:r>
          </w:p>
        </w:tc>
        <w:tc>
          <w:tcPr>
            <w:tcW w:w="1800" w:type="dxa"/>
            <w:vAlign w:val="center"/>
          </w:tcPr>
          <w:p w14:paraId="22C66C27">
            <w:pPr>
              <w:adjustRightInd w:val="0"/>
              <w:snapToGrid w:val="0"/>
              <w:spacing w:line="320" w:lineRule="exact"/>
              <w:ind w:firstLine="420" w:firstLineChars="200"/>
              <w:rPr>
                <w:rFonts w:ascii="宋体"/>
                <w:szCs w:val="21"/>
              </w:rPr>
            </w:pPr>
            <w:r>
              <w:rPr>
                <w:rFonts w:hint="eastAsia" w:ascii="宋体" w:hAnsi="宋体"/>
                <w:szCs w:val="21"/>
              </w:rPr>
              <w:t>理货员</w:t>
            </w:r>
          </w:p>
        </w:tc>
        <w:tc>
          <w:tcPr>
            <w:tcW w:w="1800" w:type="dxa"/>
            <w:vAlign w:val="center"/>
          </w:tcPr>
          <w:p w14:paraId="5737C653">
            <w:pPr>
              <w:adjustRightInd w:val="0"/>
              <w:snapToGrid w:val="0"/>
              <w:spacing w:line="320" w:lineRule="exact"/>
              <w:rPr>
                <w:rFonts w:ascii="宋体"/>
                <w:szCs w:val="21"/>
              </w:rPr>
            </w:pPr>
            <w:r>
              <w:rPr>
                <w:rFonts w:hint="eastAsia" w:ascii="宋体" w:hAnsi="宋体"/>
                <w:szCs w:val="21"/>
              </w:rPr>
              <w:t>港口理货员证书</w:t>
            </w:r>
          </w:p>
        </w:tc>
        <w:tc>
          <w:tcPr>
            <w:tcW w:w="720" w:type="dxa"/>
            <w:vAlign w:val="center"/>
          </w:tcPr>
          <w:p w14:paraId="6A6DF869">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14:paraId="6C4178DC">
            <w:pPr>
              <w:adjustRightInd w:val="0"/>
              <w:snapToGrid w:val="0"/>
              <w:spacing w:line="320" w:lineRule="exact"/>
              <w:jc w:val="center"/>
              <w:rPr>
                <w:rFonts w:ascii="宋体"/>
                <w:szCs w:val="21"/>
              </w:rPr>
            </w:pPr>
            <w:r>
              <w:rPr>
                <w:rFonts w:hint="eastAsia" w:ascii="宋体" w:hAnsi="宋体"/>
                <w:szCs w:val="21"/>
              </w:rPr>
              <w:t>人力资源和社会保障部</w:t>
            </w:r>
          </w:p>
        </w:tc>
      </w:tr>
      <w:tr w14:paraId="19B32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Merge w:val="restart"/>
            <w:vAlign w:val="center"/>
          </w:tcPr>
          <w:p w14:paraId="3498FD1F">
            <w:pPr>
              <w:adjustRightInd w:val="0"/>
              <w:spacing w:line="320" w:lineRule="exact"/>
              <w:jc w:val="center"/>
              <w:textAlignment w:val="baseline"/>
              <w:rPr>
                <w:rFonts w:ascii="宋体"/>
                <w:szCs w:val="21"/>
              </w:rPr>
            </w:pPr>
            <w:r>
              <w:rPr>
                <w:rFonts w:hint="eastAsia" w:ascii="宋体"/>
                <w:szCs w:val="21"/>
              </w:rPr>
              <w:t>2</w:t>
            </w:r>
          </w:p>
        </w:tc>
        <w:tc>
          <w:tcPr>
            <w:tcW w:w="1260" w:type="dxa"/>
            <w:vMerge w:val="restart"/>
            <w:vAlign w:val="center"/>
          </w:tcPr>
          <w:p w14:paraId="7DE0D56B">
            <w:pPr>
              <w:adjustRightInd w:val="0"/>
              <w:snapToGrid w:val="0"/>
              <w:spacing w:line="320" w:lineRule="exact"/>
              <w:jc w:val="center"/>
              <w:rPr>
                <w:rFonts w:ascii="宋体"/>
                <w:b/>
                <w:szCs w:val="21"/>
              </w:rPr>
            </w:pPr>
            <w:r>
              <w:rPr>
                <w:rFonts w:hint="eastAsia" w:ascii="宋体"/>
                <w:b/>
                <w:szCs w:val="21"/>
              </w:rPr>
              <w:t>航运</w:t>
            </w:r>
            <w:r>
              <w:rPr>
                <w:rFonts w:ascii="宋体"/>
                <w:b/>
                <w:szCs w:val="21"/>
              </w:rPr>
              <w:t>代理</w:t>
            </w:r>
            <w:r>
              <w:rPr>
                <w:rFonts w:hint="eastAsia" w:ascii="宋体"/>
                <w:b/>
                <w:szCs w:val="21"/>
              </w:rPr>
              <w:t>服务</w:t>
            </w:r>
          </w:p>
        </w:tc>
        <w:tc>
          <w:tcPr>
            <w:tcW w:w="1800" w:type="dxa"/>
            <w:vAlign w:val="center"/>
          </w:tcPr>
          <w:p w14:paraId="1D04CB67">
            <w:pPr>
              <w:adjustRightInd w:val="0"/>
              <w:snapToGrid w:val="0"/>
              <w:spacing w:line="320" w:lineRule="exact"/>
              <w:jc w:val="center"/>
              <w:rPr>
                <w:rFonts w:ascii="宋体"/>
                <w:szCs w:val="21"/>
              </w:rPr>
            </w:pPr>
            <w:r>
              <w:rPr>
                <w:rFonts w:hint="eastAsia" w:ascii="宋体" w:hAnsi="宋体"/>
                <w:szCs w:val="21"/>
              </w:rPr>
              <w:t>国际货运代理</w:t>
            </w:r>
          </w:p>
        </w:tc>
        <w:tc>
          <w:tcPr>
            <w:tcW w:w="1800" w:type="dxa"/>
            <w:vAlign w:val="center"/>
          </w:tcPr>
          <w:p w14:paraId="06E3097E">
            <w:pPr>
              <w:adjustRightInd w:val="0"/>
              <w:snapToGrid w:val="0"/>
              <w:spacing w:line="320" w:lineRule="exact"/>
              <w:jc w:val="center"/>
              <w:rPr>
                <w:rFonts w:ascii="宋体"/>
                <w:szCs w:val="21"/>
              </w:rPr>
            </w:pPr>
            <w:r>
              <w:rPr>
                <w:rFonts w:hint="eastAsia" w:ascii="宋体" w:hAnsi="宋体"/>
                <w:szCs w:val="21"/>
              </w:rPr>
              <w:t>国际货运代理从业资格证书</w:t>
            </w:r>
          </w:p>
        </w:tc>
        <w:tc>
          <w:tcPr>
            <w:tcW w:w="720" w:type="dxa"/>
            <w:vAlign w:val="center"/>
          </w:tcPr>
          <w:p w14:paraId="44C0721F">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14:paraId="465CD541">
            <w:pPr>
              <w:adjustRightInd w:val="0"/>
              <w:snapToGrid w:val="0"/>
              <w:spacing w:line="320" w:lineRule="exact"/>
              <w:jc w:val="center"/>
              <w:rPr>
                <w:rFonts w:ascii="宋体"/>
                <w:szCs w:val="21"/>
              </w:rPr>
            </w:pPr>
            <w:r>
              <w:rPr>
                <w:rFonts w:hint="eastAsia" w:ascii="宋体" w:hAnsi="宋体"/>
                <w:szCs w:val="21"/>
              </w:rPr>
              <w:t>中国国际货运代理协会</w:t>
            </w:r>
          </w:p>
        </w:tc>
      </w:tr>
      <w:tr w14:paraId="40F4E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Merge w:val="continue"/>
            <w:vAlign w:val="center"/>
          </w:tcPr>
          <w:p w14:paraId="6879DA48">
            <w:pPr>
              <w:adjustRightInd w:val="0"/>
              <w:spacing w:line="320" w:lineRule="exact"/>
              <w:jc w:val="center"/>
              <w:textAlignment w:val="baseline"/>
              <w:rPr>
                <w:rFonts w:ascii="宋体"/>
                <w:szCs w:val="21"/>
              </w:rPr>
            </w:pPr>
          </w:p>
        </w:tc>
        <w:tc>
          <w:tcPr>
            <w:tcW w:w="1260" w:type="dxa"/>
            <w:vMerge w:val="continue"/>
            <w:vAlign w:val="center"/>
          </w:tcPr>
          <w:p w14:paraId="5F96E84D">
            <w:pPr>
              <w:adjustRightInd w:val="0"/>
              <w:snapToGrid w:val="0"/>
              <w:spacing w:line="320" w:lineRule="exact"/>
              <w:ind w:firstLine="422" w:firstLineChars="200"/>
              <w:jc w:val="center"/>
              <w:rPr>
                <w:rFonts w:ascii="宋体"/>
                <w:b/>
                <w:szCs w:val="21"/>
              </w:rPr>
            </w:pPr>
          </w:p>
        </w:tc>
        <w:tc>
          <w:tcPr>
            <w:tcW w:w="1800" w:type="dxa"/>
            <w:vAlign w:val="center"/>
          </w:tcPr>
          <w:p w14:paraId="095CAA9C">
            <w:pPr>
              <w:adjustRightInd w:val="0"/>
              <w:snapToGrid w:val="0"/>
              <w:spacing w:line="320" w:lineRule="exact"/>
              <w:jc w:val="center"/>
              <w:rPr>
                <w:rFonts w:ascii="宋体"/>
                <w:szCs w:val="21"/>
              </w:rPr>
            </w:pPr>
            <w:r>
              <w:rPr>
                <w:rFonts w:hint="eastAsia" w:ascii="宋体" w:hAnsi="宋体"/>
                <w:szCs w:val="21"/>
              </w:rPr>
              <w:t>国际船舶代理</w:t>
            </w:r>
          </w:p>
        </w:tc>
        <w:tc>
          <w:tcPr>
            <w:tcW w:w="1800" w:type="dxa"/>
            <w:vAlign w:val="center"/>
          </w:tcPr>
          <w:p w14:paraId="57558ED9">
            <w:pPr>
              <w:adjustRightInd w:val="0"/>
              <w:snapToGrid w:val="0"/>
              <w:spacing w:line="320" w:lineRule="exact"/>
              <w:jc w:val="center"/>
              <w:rPr>
                <w:rFonts w:ascii="宋体"/>
                <w:szCs w:val="21"/>
              </w:rPr>
            </w:pPr>
            <w:r>
              <w:rPr>
                <w:rFonts w:hint="eastAsia" w:ascii="宋体" w:hAnsi="宋体"/>
                <w:szCs w:val="21"/>
              </w:rPr>
              <w:t>国际货运代理从业资格证书</w:t>
            </w:r>
          </w:p>
        </w:tc>
        <w:tc>
          <w:tcPr>
            <w:tcW w:w="720" w:type="dxa"/>
            <w:vAlign w:val="center"/>
          </w:tcPr>
          <w:p w14:paraId="014F5F43">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14:paraId="4D4F3D38">
            <w:pPr>
              <w:adjustRightInd w:val="0"/>
              <w:snapToGrid w:val="0"/>
              <w:spacing w:line="320" w:lineRule="exact"/>
              <w:jc w:val="center"/>
              <w:rPr>
                <w:rFonts w:ascii="宋体"/>
                <w:szCs w:val="21"/>
              </w:rPr>
            </w:pPr>
            <w:r>
              <w:rPr>
                <w:rFonts w:hint="eastAsia" w:ascii="宋体" w:hAnsi="宋体"/>
                <w:szCs w:val="21"/>
              </w:rPr>
              <w:t>中国国际货运代理协会</w:t>
            </w:r>
          </w:p>
        </w:tc>
      </w:tr>
      <w:tr w14:paraId="51C9E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Merge w:val="restart"/>
            <w:vAlign w:val="center"/>
          </w:tcPr>
          <w:p w14:paraId="50F3E4B6">
            <w:pPr>
              <w:adjustRightInd w:val="0"/>
              <w:spacing w:line="320" w:lineRule="exact"/>
              <w:jc w:val="center"/>
              <w:textAlignment w:val="baseline"/>
              <w:rPr>
                <w:rFonts w:ascii="宋体"/>
                <w:szCs w:val="21"/>
              </w:rPr>
            </w:pPr>
            <w:r>
              <w:rPr>
                <w:rFonts w:ascii="宋体" w:hAnsi="宋体"/>
                <w:szCs w:val="21"/>
              </w:rPr>
              <w:t>3</w:t>
            </w:r>
          </w:p>
        </w:tc>
        <w:tc>
          <w:tcPr>
            <w:tcW w:w="1260" w:type="dxa"/>
            <w:vMerge w:val="restart"/>
            <w:vAlign w:val="center"/>
          </w:tcPr>
          <w:p w14:paraId="7276B6A2">
            <w:pPr>
              <w:adjustRightInd w:val="0"/>
              <w:snapToGrid w:val="0"/>
              <w:spacing w:line="320" w:lineRule="exact"/>
              <w:jc w:val="center"/>
              <w:rPr>
                <w:rFonts w:ascii="宋体"/>
                <w:b/>
                <w:szCs w:val="21"/>
              </w:rPr>
            </w:pPr>
            <w:r>
              <w:rPr>
                <w:rFonts w:hint="eastAsia" w:ascii="宋体" w:hAnsi="宋体"/>
                <w:b/>
                <w:szCs w:val="21"/>
              </w:rPr>
              <w:t>航运业务处理</w:t>
            </w:r>
          </w:p>
        </w:tc>
        <w:tc>
          <w:tcPr>
            <w:tcW w:w="1800" w:type="dxa"/>
            <w:vAlign w:val="center"/>
          </w:tcPr>
          <w:p w14:paraId="38E43C8E">
            <w:pPr>
              <w:adjustRightInd w:val="0"/>
              <w:snapToGrid w:val="0"/>
              <w:spacing w:line="320" w:lineRule="exact"/>
              <w:jc w:val="center"/>
              <w:rPr>
                <w:rFonts w:ascii="宋体"/>
                <w:szCs w:val="21"/>
              </w:rPr>
            </w:pPr>
            <w:r>
              <w:rPr>
                <w:rFonts w:hint="eastAsia" w:ascii="宋体" w:hAnsi="宋体"/>
                <w:szCs w:val="21"/>
              </w:rPr>
              <w:t>船公司商务</w:t>
            </w:r>
          </w:p>
        </w:tc>
        <w:tc>
          <w:tcPr>
            <w:tcW w:w="1800" w:type="dxa"/>
            <w:vAlign w:val="center"/>
          </w:tcPr>
          <w:p w14:paraId="73A07D4D">
            <w:pPr>
              <w:adjustRightInd w:val="0"/>
              <w:snapToGrid w:val="0"/>
              <w:spacing w:line="320" w:lineRule="exact"/>
              <w:jc w:val="center"/>
              <w:rPr>
                <w:rFonts w:ascii="宋体"/>
                <w:szCs w:val="21"/>
              </w:rPr>
            </w:pPr>
            <w:r>
              <w:rPr>
                <w:rFonts w:hint="eastAsia" w:ascii="宋体" w:hAnsi="宋体"/>
                <w:szCs w:val="21"/>
              </w:rPr>
              <w:t>国际商务单证员证书</w:t>
            </w:r>
          </w:p>
        </w:tc>
        <w:tc>
          <w:tcPr>
            <w:tcW w:w="720" w:type="dxa"/>
            <w:vAlign w:val="center"/>
          </w:tcPr>
          <w:p w14:paraId="6C8A32B1">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14:paraId="663D0EFC">
            <w:pPr>
              <w:adjustRightInd w:val="0"/>
              <w:snapToGrid w:val="0"/>
              <w:spacing w:line="320" w:lineRule="exact"/>
              <w:jc w:val="center"/>
              <w:rPr>
                <w:rFonts w:ascii="宋体"/>
                <w:szCs w:val="21"/>
              </w:rPr>
            </w:pPr>
            <w:r>
              <w:fldChar w:fldCharType="begin"/>
            </w:r>
            <w:r>
              <w:instrText xml:space="preserve"> HYPERLINK "http://www.so.com/s?q=%E4%B8%AD%E5%9B%BD%E5%AF%B9%E5%A4%96%E8%B4%B8%E6%98%93%E7%BB%8F%E6%B5%8E%E5%90%88%E4%BD%9C%E4%BC%81%E4%B8%9A%E5%8D%8F%E4%BC%9A&amp;ie=utf-8&amp;src=wenda_link" \t "_blank" </w:instrText>
            </w:r>
            <w:r>
              <w:fldChar w:fldCharType="separate"/>
            </w:r>
            <w:r>
              <w:rPr>
                <w:rFonts w:hint="eastAsia" w:ascii="宋体" w:hAnsi="宋体"/>
                <w:szCs w:val="21"/>
              </w:rPr>
              <w:t>中国对外贸易经济合作企业协会</w:t>
            </w:r>
            <w:r>
              <w:rPr>
                <w:rFonts w:hint="eastAsia" w:ascii="宋体" w:hAnsi="宋体"/>
                <w:szCs w:val="21"/>
              </w:rPr>
              <w:fldChar w:fldCharType="end"/>
            </w:r>
          </w:p>
        </w:tc>
      </w:tr>
      <w:tr w14:paraId="4898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Merge w:val="continue"/>
            <w:vAlign w:val="center"/>
          </w:tcPr>
          <w:p w14:paraId="27C3403D">
            <w:pPr>
              <w:adjustRightInd w:val="0"/>
              <w:spacing w:line="320" w:lineRule="exact"/>
              <w:jc w:val="center"/>
              <w:textAlignment w:val="baseline"/>
              <w:rPr>
                <w:rFonts w:ascii="宋体"/>
                <w:szCs w:val="21"/>
              </w:rPr>
            </w:pPr>
          </w:p>
        </w:tc>
        <w:tc>
          <w:tcPr>
            <w:tcW w:w="1260" w:type="dxa"/>
            <w:vMerge w:val="continue"/>
            <w:vAlign w:val="center"/>
          </w:tcPr>
          <w:p w14:paraId="4532A8DC">
            <w:pPr>
              <w:adjustRightInd w:val="0"/>
              <w:snapToGrid w:val="0"/>
              <w:spacing w:line="320" w:lineRule="exact"/>
              <w:ind w:firstLine="420" w:firstLineChars="200"/>
              <w:jc w:val="center"/>
              <w:rPr>
                <w:rFonts w:ascii="宋体"/>
                <w:szCs w:val="21"/>
              </w:rPr>
            </w:pPr>
          </w:p>
        </w:tc>
        <w:tc>
          <w:tcPr>
            <w:tcW w:w="1800" w:type="dxa"/>
            <w:vAlign w:val="center"/>
          </w:tcPr>
          <w:p w14:paraId="3E1A1C1D">
            <w:pPr>
              <w:adjustRightInd w:val="0"/>
              <w:snapToGrid w:val="0"/>
              <w:spacing w:line="320" w:lineRule="exact"/>
              <w:jc w:val="center"/>
              <w:rPr>
                <w:rFonts w:ascii="宋体"/>
                <w:szCs w:val="21"/>
              </w:rPr>
            </w:pPr>
            <w:r>
              <w:rPr>
                <w:rFonts w:hint="eastAsia" w:ascii="宋体" w:hAnsi="宋体"/>
                <w:szCs w:val="21"/>
              </w:rPr>
              <w:t>船舶买卖经纪人</w:t>
            </w:r>
          </w:p>
        </w:tc>
        <w:tc>
          <w:tcPr>
            <w:tcW w:w="1800" w:type="dxa"/>
            <w:vAlign w:val="center"/>
          </w:tcPr>
          <w:p w14:paraId="12DE39D0">
            <w:pPr>
              <w:adjustRightInd w:val="0"/>
              <w:snapToGrid w:val="0"/>
              <w:spacing w:line="320" w:lineRule="exact"/>
              <w:jc w:val="center"/>
              <w:rPr>
                <w:rFonts w:ascii="宋体"/>
                <w:szCs w:val="21"/>
              </w:rPr>
            </w:pPr>
            <w:r>
              <w:rPr>
                <w:rFonts w:hint="eastAsia" w:ascii="宋体" w:hAnsi="宋体"/>
                <w:szCs w:val="21"/>
              </w:rPr>
              <w:t>航运经纪执业人员执业资格证书</w:t>
            </w:r>
          </w:p>
        </w:tc>
        <w:tc>
          <w:tcPr>
            <w:tcW w:w="720" w:type="dxa"/>
            <w:vAlign w:val="center"/>
          </w:tcPr>
          <w:p w14:paraId="7D7DB609">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14:paraId="0E95B6E0">
            <w:pPr>
              <w:adjustRightInd w:val="0"/>
              <w:snapToGrid w:val="0"/>
              <w:spacing w:line="320" w:lineRule="exact"/>
              <w:jc w:val="center"/>
              <w:rPr>
                <w:rFonts w:ascii="宋体"/>
                <w:szCs w:val="21"/>
              </w:rPr>
            </w:pPr>
            <w:r>
              <w:rPr>
                <w:rFonts w:hint="eastAsia"/>
              </w:rPr>
              <w:t>上海市执业经纪人协会</w:t>
            </w:r>
          </w:p>
        </w:tc>
      </w:tr>
    </w:tbl>
    <w:p w14:paraId="79B1922D">
      <w:pPr>
        <w:pStyle w:val="3"/>
        <w:spacing w:before="156" w:after="156"/>
        <w:ind w:left="420" w:leftChars="200" w:firstLine="0" w:firstLineChars="0"/>
        <w:rPr>
          <w:rFonts w:ascii="宋体" w:eastAsia="宋体"/>
          <w:color w:val="auto"/>
          <w:sz w:val="21"/>
          <w:szCs w:val="21"/>
        </w:rPr>
      </w:pPr>
      <w:r>
        <w:rPr>
          <w:rFonts w:hint="eastAsia" w:ascii="宋体" w:eastAsia="宋体"/>
          <w:b/>
          <w:color w:val="auto"/>
          <w:sz w:val="21"/>
          <w:szCs w:val="21"/>
        </w:rPr>
        <w:t>注</w:t>
      </w:r>
      <w:r>
        <w:rPr>
          <w:rFonts w:hint="eastAsia" w:ascii="宋体" w:eastAsia="宋体"/>
          <w:color w:val="auto"/>
          <w:sz w:val="21"/>
          <w:szCs w:val="21"/>
        </w:rPr>
        <w:t>：受制</w:t>
      </w:r>
      <w:r>
        <w:rPr>
          <w:rFonts w:ascii="宋体" w:eastAsia="宋体"/>
          <w:color w:val="auto"/>
          <w:sz w:val="21"/>
          <w:szCs w:val="21"/>
        </w:rPr>
        <w:t>于</w:t>
      </w:r>
      <w:r>
        <w:rPr>
          <w:rFonts w:hint="eastAsia" w:ascii="宋体" w:eastAsia="宋体"/>
          <w:color w:val="auto"/>
          <w:sz w:val="21"/>
          <w:szCs w:val="21"/>
        </w:rPr>
        <w:t>当</w:t>
      </w:r>
      <w:r>
        <w:rPr>
          <w:rFonts w:ascii="宋体" w:eastAsia="宋体"/>
          <w:color w:val="auto"/>
          <w:sz w:val="21"/>
          <w:szCs w:val="21"/>
        </w:rPr>
        <w:t>前的</w:t>
      </w:r>
      <w:r>
        <w:rPr>
          <w:rFonts w:hint="eastAsia" w:ascii="宋体" w:eastAsia="宋体"/>
          <w:color w:val="auto"/>
          <w:sz w:val="21"/>
          <w:szCs w:val="21"/>
        </w:rPr>
        <w:t>年</w:t>
      </w:r>
      <w:r>
        <w:rPr>
          <w:rFonts w:ascii="宋体" w:eastAsia="宋体"/>
          <w:color w:val="auto"/>
          <w:sz w:val="21"/>
          <w:szCs w:val="21"/>
        </w:rPr>
        <w:t>招生人数</w:t>
      </w:r>
      <w:r>
        <w:rPr>
          <w:rFonts w:hint="eastAsia" w:ascii="宋体" w:eastAsia="宋体"/>
          <w:color w:val="auto"/>
          <w:sz w:val="21"/>
          <w:szCs w:val="21"/>
        </w:rPr>
        <w:t>和</w:t>
      </w:r>
      <w:r>
        <w:rPr>
          <w:rFonts w:ascii="宋体" w:eastAsia="宋体"/>
          <w:color w:val="auto"/>
          <w:sz w:val="21"/>
          <w:szCs w:val="21"/>
        </w:rPr>
        <w:t>师资</w:t>
      </w:r>
      <w:r>
        <w:rPr>
          <w:rFonts w:hint="eastAsia" w:ascii="宋体" w:eastAsia="宋体"/>
          <w:color w:val="auto"/>
          <w:sz w:val="21"/>
          <w:szCs w:val="21"/>
        </w:rPr>
        <w:t>、</w:t>
      </w:r>
      <w:r>
        <w:rPr>
          <w:rFonts w:ascii="宋体" w:eastAsia="宋体"/>
          <w:color w:val="auto"/>
          <w:sz w:val="21"/>
          <w:szCs w:val="21"/>
        </w:rPr>
        <w:t>课程资源，</w:t>
      </w:r>
      <w:r>
        <w:rPr>
          <w:rFonts w:hint="eastAsia" w:ascii="宋体" w:eastAsia="宋体"/>
          <w:color w:val="auto"/>
          <w:sz w:val="21"/>
          <w:szCs w:val="21"/>
        </w:rPr>
        <w:t>表1中</w:t>
      </w:r>
      <w:r>
        <w:rPr>
          <w:rFonts w:ascii="宋体" w:eastAsia="宋体"/>
          <w:color w:val="auto"/>
          <w:sz w:val="21"/>
          <w:szCs w:val="21"/>
        </w:rPr>
        <w:t>三个专业方向都整合在</w:t>
      </w:r>
      <w:r>
        <w:rPr>
          <w:rFonts w:hint="eastAsia" w:ascii="宋体" w:eastAsia="宋体"/>
          <w:color w:val="auto"/>
          <w:sz w:val="21"/>
          <w:szCs w:val="21"/>
        </w:rPr>
        <w:t>“</w:t>
      </w:r>
      <w:r>
        <w:rPr>
          <w:rFonts w:ascii="宋体" w:eastAsia="宋体"/>
          <w:color w:val="auto"/>
          <w:sz w:val="21"/>
          <w:szCs w:val="21"/>
        </w:rPr>
        <w:t>港</w:t>
      </w:r>
      <w:r>
        <w:rPr>
          <w:rFonts w:hint="eastAsia" w:ascii="宋体" w:eastAsia="宋体"/>
          <w:color w:val="auto"/>
          <w:sz w:val="21"/>
          <w:szCs w:val="21"/>
        </w:rPr>
        <w:t>口</w:t>
      </w:r>
      <w:r>
        <w:rPr>
          <w:rFonts w:ascii="宋体" w:eastAsia="宋体"/>
          <w:color w:val="auto"/>
          <w:sz w:val="21"/>
          <w:szCs w:val="21"/>
        </w:rPr>
        <w:t>生产与航运管理</w:t>
      </w:r>
      <w:r>
        <w:rPr>
          <w:rFonts w:hint="eastAsia" w:ascii="宋体" w:eastAsia="宋体"/>
          <w:color w:val="auto"/>
          <w:sz w:val="21"/>
          <w:szCs w:val="21"/>
        </w:rPr>
        <w:t>”</w:t>
      </w:r>
      <w:r>
        <w:rPr>
          <w:rFonts w:ascii="宋体" w:eastAsia="宋体"/>
          <w:color w:val="auto"/>
          <w:sz w:val="21"/>
          <w:szCs w:val="21"/>
        </w:rPr>
        <w:t>大专业方向中</w:t>
      </w:r>
      <w:r>
        <w:rPr>
          <w:rFonts w:hint="eastAsia" w:ascii="宋体" w:eastAsia="宋体"/>
          <w:color w:val="auto"/>
          <w:sz w:val="21"/>
          <w:szCs w:val="21"/>
        </w:rPr>
        <w:t>。</w:t>
      </w:r>
    </w:p>
    <w:p w14:paraId="45196B6A">
      <w:pPr>
        <w:pStyle w:val="3"/>
        <w:spacing w:before="156" w:after="156"/>
        <w:rPr>
          <w:color w:val="auto"/>
        </w:rPr>
      </w:pPr>
      <w:r>
        <w:rPr>
          <w:rFonts w:hint="eastAsia"/>
          <w:color w:val="auto"/>
        </w:rPr>
        <w:t>（二）职业生涯路径</w:t>
      </w:r>
    </w:p>
    <w:p w14:paraId="7C119888">
      <w:pPr>
        <w:adjustRightInd w:val="0"/>
        <w:snapToGrid w:val="0"/>
        <w:spacing w:line="360" w:lineRule="auto"/>
        <w:ind w:firstLine="480" w:firstLineChars="200"/>
        <w:rPr>
          <w:rFonts w:ascii="宋体" w:hAnsi="宋体"/>
          <w:color w:val="000000"/>
          <w:sz w:val="24"/>
        </w:rPr>
      </w:pPr>
      <w:r>
        <w:rPr>
          <w:rFonts w:ascii="宋体" w:hAnsi="宋体"/>
          <w:color w:val="000000"/>
          <w:sz w:val="24"/>
        </w:rPr>
        <w:t>学生在港口、</w:t>
      </w:r>
      <w:r>
        <w:rPr>
          <w:rFonts w:hint="eastAsia" w:ascii="宋体" w:hAnsi="宋体"/>
          <w:color w:val="000000"/>
          <w:sz w:val="24"/>
        </w:rPr>
        <w:t>船舶运输、</w:t>
      </w:r>
      <w:r>
        <w:rPr>
          <w:rFonts w:ascii="宋体" w:hAnsi="宋体"/>
          <w:color w:val="000000"/>
          <w:sz w:val="24"/>
        </w:rPr>
        <w:t>航运代理三个对口主要就业群的单位、部门和工作岗位中，组</w:t>
      </w:r>
      <w:r>
        <w:rPr>
          <w:rFonts w:ascii="宋体" w:hAnsi="宋体" w:cs="宋体"/>
          <w:sz w:val="24"/>
        </w:rPr>
        <w:t>织内部岗位可</w:t>
      </w:r>
      <w:r>
        <w:rPr>
          <w:rFonts w:ascii="宋体" w:hAnsi="宋体"/>
          <w:color w:val="000000"/>
          <w:sz w:val="24"/>
        </w:rPr>
        <w:t>分为管理序列和专业序列两大类，其职业发展通道如下图1所示。</w:t>
      </w:r>
    </w:p>
    <w:p w14:paraId="5F042DD3">
      <w:pPr>
        <w:adjustRightInd w:val="0"/>
        <w:snapToGrid w:val="0"/>
        <w:spacing w:before="156" w:beforeLines="50" w:line="360" w:lineRule="auto"/>
        <w:ind w:firstLine="420" w:firstLineChars="200"/>
        <w:jc w:val="center"/>
        <w:rPr>
          <w:rFonts w:ascii="宋体" w:hAnsi="宋体"/>
          <w:color w:val="000000"/>
          <w:sz w:val="24"/>
        </w:rPr>
      </w:pPr>
      <w:r>
        <mc:AlternateContent>
          <mc:Choice Requires="wpg">
            <w:drawing>
              <wp:inline distT="0" distB="0" distL="0" distR="0">
                <wp:extent cx="4279265" cy="1830070"/>
                <wp:effectExtent l="0" t="0" r="635" b="0"/>
                <wp:docPr id="1527924516" name="Group 2"/>
                <wp:cNvGraphicFramePr/>
                <a:graphic xmlns:a="http://schemas.openxmlformats.org/drawingml/2006/main">
                  <a:graphicData uri="http://schemas.microsoft.com/office/word/2010/wordprocessingGroup">
                    <wpg:wgp>
                      <wpg:cNvGrpSpPr/>
                      <wpg:grpSpPr>
                        <a:xfrm>
                          <a:off x="0" y="0"/>
                          <a:ext cx="4279265" cy="1830070"/>
                          <a:chOff x="3667" y="7606"/>
                          <a:chExt cx="4679" cy="2882"/>
                        </a:xfrm>
                      </wpg:grpSpPr>
                      <wps:wsp>
                        <wps:cNvPr id="1195458522" name="直接箭头连接符 7"/>
                        <wps:cNvCnPr/>
                        <wps:spPr bwMode="auto">
                          <a:xfrm flipV="1">
                            <a:off x="6022" y="9331"/>
                            <a:ext cx="1" cy="675"/>
                          </a:xfrm>
                          <a:prstGeom prst="straightConnector1">
                            <a:avLst/>
                          </a:prstGeom>
                          <a:noFill/>
                          <a:ln w="9525">
                            <a:solidFill>
                              <a:srgbClr val="000000"/>
                            </a:solidFill>
                            <a:round/>
                            <a:tailEnd type="triangle" w="med" len="med"/>
                          </a:ln>
                        </wps:spPr>
                        <wps:bodyPr/>
                      </wps:wsp>
                      <wps:wsp>
                        <wps:cNvPr id="1589817263" name="Text Box 4"/>
                        <wps:cNvSpPr txBox="1"/>
                        <wps:spPr bwMode="auto">
                          <a:xfrm>
                            <a:off x="5422" y="10006"/>
                            <a:ext cx="1247" cy="482"/>
                          </a:xfrm>
                          <a:prstGeom prst="rect">
                            <a:avLst/>
                          </a:prstGeom>
                          <a:solidFill>
                            <a:srgbClr val="FFFFFF"/>
                          </a:solidFill>
                          <a:ln w="9525">
                            <a:solidFill>
                              <a:srgbClr val="000000"/>
                            </a:solidFill>
                            <a:miter lim="800000"/>
                          </a:ln>
                        </wps:spPr>
                        <wps:txbx>
                          <w:txbxContent>
                            <w:p w14:paraId="210DF0CA">
                              <w:pPr>
                                <w:jc w:val="center"/>
                              </w:pPr>
                              <w:r>
                                <w:rPr>
                                  <w:rFonts w:hint="eastAsia"/>
                                </w:rPr>
                                <w:t>业务员</w:t>
                              </w:r>
                            </w:p>
                          </w:txbxContent>
                        </wps:txbx>
                        <wps:bodyPr rot="0" vert="horz" wrap="square" lIns="91440" tIns="45720" rIns="91440" bIns="45720" anchor="t" anchorCtr="0" upright="1">
                          <a:noAutofit/>
                        </wps:bodyPr>
                      </wps:wsp>
                      <wps:wsp>
                        <wps:cNvPr id="1130590262" name="Text Box 5"/>
                        <wps:cNvSpPr txBox="1"/>
                        <wps:spPr bwMode="auto">
                          <a:xfrm>
                            <a:off x="7177" y="10006"/>
                            <a:ext cx="1169" cy="482"/>
                          </a:xfrm>
                          <a:prstGeom prst="rect">
                            <a:avLst/>
                          </a:prstGeom>
                          <a:solidFill>
                            <a:srgbClr val="FFFFFF"/>
                          </a:solidFill>
                          <a:ln w="9525">
                            <a:solidFill>
                              <a:srgbClr val="000000"/>
                            </a:solidFill>
                            <a:miter lim="800000"/>
                          </a:ln>
                        </wps:spPr>
                        <wps:txbx>
                          <w:txbxContent>
                            <w:p w14:paraId="6D73993D">
                              <w:pPr>
                                <w:jc w:val="center"/>
                              </w:pPr>
                              <w:r>
                                <w:rPr>
                                  <w:rFonts w:hint="eastAsia"/>
                                </w:rPr>
                                <w:t>生产操作员</w:t>
                              </w:r>
                            </w:p>
                          </w:txbxContent>
                        </wps:txbx>
                        <wps:bodyPr rot="0" vert="horz" wrap="square" lIns="91440" tIns="45720" rIns="91440" bIns="45720" anchor="t" anchorCtr="0" upright="1">
                          <a:noAutofit/>
                        </wps:bodyPr>
                      </wps:wsp>
                      <wps:wsp>
                        <wps:cNvPr id="702721201" name="Text Box 6"/>
                        <wps:cNvSpPr txBox="1"/>
                        <wps:spPr bwMode="auto">
                          <a:xfrm>
                            <a:off x="3667" y="10006"/>
                            <a:ext cx="1247" cy="482"/>
                          </a:xfrm>
                          <a:prstGeom prst="rect">
                            <a:avLst/>
                          </a:prstGeom>
                          <a:solidFill>
                            <a:srgbClr val="FFFFFF"/>
                          </a:solidFill>
                          <a:ln w="9525">
                            <a:solidFill>
                              <a:srgbClr val="000000"/>
                            </a:solidFill>
                            <a:miter lim="800000"/>
                          </a:ln>
                        </wps:spPr>
                        <wps:txbx>
                          <w:txbxContent>
                            <w:p w14:paraId="46C72AC7">
                              <w:pPr>
                                <w:jc w:val="center"/>
                              </w:pPr>
                              <w:r>
                                <w:rPr>
                                  <w:rFonts w:hint="eastAsia"/>
                                </w:rPr>
                                <w:t>办事员</w:t>
                              </w:r>
                            </w:p>
                          </w:txbxContent>
                        </wps:txbx>
                        <wps:bodyPr rot="0" vert="horz" wrap="square" lIns="91440" tIns="45720" rIns="91440" bIns="45720" anchor="t" anchorCtr="0" upright="1">
                          <a:noAutofit/>
                        </wps:bodyPr>
                      </wps:wsp>
                      <wps:wsp>
                        <wps:cNvPr id="1216544017" name="AutoShape 7"/>
                        <wps:cNvCnPr/>
                        <wps:spPr bwMode="auto">
                          <a:xfrm>
                            <a:off x="4914" y="10278"/>
                            <a:ext cx="508" cy="1"/>
                          </a:xfrm>
                          <a:prstGeom prst="straightConnector1">
                            <a:avLst/>
                          </a:prstGeom>
                          <a:noFill/>
                          <a:ln w="9525">
                            <a:solidFill>
                              <a:srgbClr val="000000"/>
                            </a:solidFill>
                            <a:round/>
                          </a:ln>
                        </wps:spPr>
                        <wps:bodyPr/>
                      </wps:wsp>
                      <wps:wsp>
                        <wps:cNvPr id="1993062194" name="AutoShape 8"/>
                        <wps:cNvCnPr/>
                        <wps:spPr bwMode="auto">
                          <a:xfrm>
                            <a:off x="6652" y="10279"/>
                            <a:ext cx="525" cy="1"/>
                          </a:xfrm>
                          <a:prstGeom prst="straightConnector1">
                            <a:avLst/>
                          </a:prstGeom>
                          <a:noFill/>
                          <a:ln w="9525">
                            <a:solidFill>
                              <a:srgbClr val="000000"/>
                            </a:solidFill>
                            <a:round/>
                          </a:ln>
                        </wps:spPr>
                        <wps:bodyPr/>
                      </wps:wsp>
                      <wps:wsp>
                        <wps:cNvPr id="725519002" name="Text Box 9"/>
                        <wps:cNvSpPr txBox="1"/>
                        <wps:spPr bwMode="auto">
                          <a:xfrm>
                            <a:off x="5422" y="8806"/>
                            <a:ext cx="1213" cy="480"/>
                          </a:xfrm>
                          <a:prstGeom prst="rect">
                            <a:avLst/>
                          </a:prstGeom>
                          <a:solidFill>
                            <a:srgbClr val="FFFFFF"/>
                          </a:solidFill>
                          <a:ln w="9525">
                            <a:solidFill>
                              <a:srgbClr val="000000"/>
                            </a:solidFill>
                            <a:miter lim="800000"/>
                          </a:ln>
                        </wps:spPr>
                        <wps:txbx>
                          <w:txbxContent>
                            <w:p w14:paraId="3A829DF3">
                              <w:pPr>
                                <w:jc w:val="center"/>
                              </w:pPr>
                              <w:r>
                                <w:rPr>
                                  <w:rFonts w:hint="eastAsia"/>
                                </w:rPr>
                                <w:t>业务主管</w:t>
                              </w:r>
                            </w:p>
                          </w:txbxContent>
                        </wps:txbx>
                        <wps:bodyPr rot="0" vert="horz" wrap="square" lIns="91440" tIns="45720" rIns="91440" bIns="45720" anchor="t" anchorCtr="0" upright="1">
                          <a:noAutofit/>
                        </wps:bodyPr>
                      </wps:wsp>
                      <wps:wsp>
                        <wps:cNvPr id="1406976636" name="Text Box 10"/>
                        <wps:cNvSpPr txBox="1"/>
                        <wps:spPr bwMode="auto">
                          <a:xfrm>
                            <a:off x="5422" y="7606"/>
                            <a:ext cx="1247" cy="480"/>
                          </a:xfrm>
                          <a:prstGeom prst="rect">
                            <a:avLst/>
                          </a:prstGeom>
                          <a:solidFill>
                            <a:srgbClr val="FFFFFF"/>
                          </a:solidFill>
                          <a:ln w="9525">
                            <a:solidFill>
                              <a:srgbClr val="000000"/>
                            </a:solidFill>
                            <a:miter lim="800000"/>
                          </a:ln>
                        </wps:spPr>
                        <wps:txbx>
                          <w:txbxContent>
                            <w:p w14:paraId="1A6E1594">
                              <w:pPr>
                                <w:jc w:val="center"/>
                              </w:pPr>
                              <w:r>
                                <w:rPr>
                                  <w:rFonts w:hint="eastAsia"/>
                                </w:rPr>
                                <w:t>公司高管</w:t>
                              </w:r>
                            </w:p>
                          </w:txbxContent>
                        </wps:txbx>
                        <wps:bodyPr rot="0" vert="horz" wrap="square" lIns="91440" tIns="45720" rIns="91440" bIns="45720" anchor="t" anchorCtr="0" upright="1">
                          <a:noAutofit/>
                        </wps:bodyPr>
                      </wps:wsp>
                      <wps:wsp>
                        <wps:cNvPr id="825876619" name="Text Box 11"/>
                        <wps:cNvSpPr txBox="1"/>
                        <wps:spPr bwMode="auto">
                          <a:xfrm>
                            <a:off x="7177" y="8806"/>
                            <a:ext cx="1121" cy="482"/>
                          </a:xfrm>
                          <a:prstGeom prst="rect">
                            <a:avLst/>
                          </a:prstGeom>
                          <a:solidFill>
                            <a:srgbClr val="FFFFFF"/>
                          </a:solidFill>
                          <a:ln w="9525">
                            <a:solidFill>
                              <a:srgbClr val="000000"/>
                            </a:solidFill>
                            <a:miter lim="800000"/>
                          </a:ln>
                        </wps:spPr>
                        <wps:txbx>
                          <w:txbxContent>
                            <w:p w14:paraId="4D9CFC79">
                              <w:pPr>
                                <w:jc w:val="center"/>
                              </w:pPr>
                              <w:r>
                                <w:rPr>
                                  <w:rFonts w:hint="eastAsia"/>
                                </w:rPr>
                                <w:t>生技主管</w:t>
                              </w:r>
                            </w:p>
                          </w:txbxContent>
                        </wps:txbx>
                        <wps:bodyPr rot="0" vert="horz" wrap="square" lIns="91440" tIns="45720" rIns="91440" bIns="45720" anchor="t" anchorCtr="0" upright="1">
                          <a:noAutofit/>
                        </wps:bodyPr>
                      </wps:wsp>
                      <wps:wsp>
                        <wps:cNvPr id="1101620870" name="Text Box 12"/>
                        <wps:cNvSpPr txBox="1"/>
                        <wps:spPr bwMode="auto">
                          <a:xfrm>
                            <a:off x="3667" y="8806"/>
                            <a:ext cx="1247" cy="480"/>
                          </a:xfrm>
                          <a:prstGeom prst="rect">
                            <a:avLst/>
                          </a:prstGeom>
                          <a:solidFill>
                            <a:srgbClr val="FFFFFF"/>
                          </a:solidFill>
                          <a:ln w="9525">
                            <a:solidFill>
                              <a:srgbClr val="000000"/>
                            </a:solidFill>
                            <a:miter lim="800000"/>
                          </a:ln>
                        </wps:spPr>
                        <wps:txbx>
                          <w:txbxContent>
                            <w:p w14:paraId="1CEEAF07">
                              <w:pPr>
                                <w:jc w:val="center"/>
                              </w:pPr>
                              <w:r>
                                <w:rPr>
                                  <w:rFonts w:hint="eastAsia"/>
                                </w:rPr>
                                <w:t>行政主管</w:t>
                              </w:r>
                            </w:p>
                          </w:txbxContent>
                        </wps:txbx>
                        <wps:bodyPr rot="0" vert="horz" wrap="square" lIns="91440" tIns="45720" rIns="91440" bIns="45720" anchor="t" anchorCtr="0" upright="1">
                          <a:noAutofit/>
                        </wps:bodyPr>
                      </wps:wsp>
                      <wps:wsp>
                        <wps:cNvPr id="1226903935" name="AutoShape 13"/>
                        <wps:cNvCnPr/>
                        <wps:spPr bwMode="auto">
                          <a:xfrm>
                            <a:off x="4897" y="9030"/>
                            <a:ext cx="525" cy="0"/>
                          </a:xfrm>
                          <a:prstGeom prst="straightConnector1">
                            <a:avLst/>
                          </a:prstGeom>
                          <a:noFill/>
                          <a:ln w="9525">
                            <a:solidFill>
                              <a:srgbClr val="000000"/>
                            </a:solidFill>
                            <a:round/>
                            <a:headEnd type="triangle" w="med" len="med"/>
                          </a:ln>
                        </wps:spPr>
                        <wps:bodyPr/>
                      </wps:wsp>
                      <wps:wsp>
                        <wps:cNvPr id="579210060" name="AutoShape 14"/>
                        <wps:cNvCnPr/>
                        <wps:spPr bwMode="auto">
                          <a:xfrm>
                            <a:off x="6652" y="9030"/>
                            <a:ext cx="525" cy="0"/>
                          </a:xfrm>
                          <a:prstGeom prst="straightConnector1">
                            <a:avLst/>
                          </a:prstGeom>
                          <a:noFill/>
                          <a:ln w="9525">
                            <a:solidFill>
                              <a:srgbClr val="000000"/>
                            </a:solidFill>
                            <a:round/>
                            <a:tailEnd type="triangle" w="med" len="med"/>
                          </a:ln>
                        </wps:spPr>
                        <wps:bodyPr/>
                      </wps:wsp>
                      <wps:wsp>
                        <wps:cNvPr id="861576281" name="AutoShape 15"/>
                        <wps:cNvCnPr/>
                        <wps:spPr bwMode="auto">
                          <a:xfrm flipH="1" flipV="1">
                            <a:off x="6006" y="8086"/>
                            <a:ext cx="1" cy="720"/>
                          </a:xfrm>
                          <a:prstGeom prst="straightConnector1">
                            <a:avLst/>
                          </a:prstGeom>
                          <a:noFill/>
                          <a:ln w="9525">
                            <a:solidFill>
                              <a:srgbClr val="000000"/>
                            </a:solidFill>
                            <a:round/>
                            <a:tailEnd type="triangle" w="med" len="med"/>
                          </a:ln>
                        </wps:spPr>
                        <wps:bodyPr/>
                      </wps:wsp>
                    </wpg:wgp>
                  </a:graphicData>
                </a:graphic>
              </wp:inline>
            </w:drawing>
          </mc:Choice>
          <mc:Fallback>
            <w:pict>
              <v:group id="Group 2" o:spid="_x0000_s1026" o:spt="203" style="height:144.1pt;width:336.95pt;" coordorigin="3667,7606" coordsize="4679,2882" o:gfxdata="UEsDBAoAAAAAAIdO4kAAAAAAAAAAAAAAAAAEAAAAZHJzL1BLAwQUAAAACACHTuJA+HQ/utcAAAAF&#10;AQAADwAAAGRycy9kb3ducmV2LnhtbE2PQWvCQBCF74X+h2UK3uomkWqaZiNFbE9SUAultzE7JsHs&#10;bMiuif77bnupl4HHe7z3Tb68mFYM1LvGsoJ4GoEgLq1uuFLwuX97TEE4j6yxtUwKruRgWdzf5Zhp&#10;O/KWhp2vRChhl6GC2vsuk9KVNRl0U9sRB+9oe4M+yL6SuscxlJtWJlE0lwYbDgs1drSqqTztzkbB&#10;+4jj6yxeD5vTcXX93j99fG1iUmryEEcvIDxd/H8YfvEDOhSB6WDPrJ1oFYRH/N8N3nwxewZxUJCk&#10;aQKyyOUtffEDUEsDBBQAAAAIAIdO4kBde9aC9wQAAJQfAAAOAAAAZHJzL2Uyb0RvYy54bWztWcty&#10;5DQU3VPFP6i8J22pbflR6UxBMglU8ZiqGdir/Wi7yraMpE535iP4AapYAStgNXu+BobP4Eqy3Z1+&#10;FJnpGUhIZ5HYUqzHOede3Xt1+mRZV+g6E7LkzcTBJ66DsibhadnMJs7XLy4/Ch0kFWtSVvEmmzg3&#10;mXSenH34wemijTPCC16lmUAwSCPjRTtxCqXaeDSSSZHVTJ7wNmugM+eiZgpexWyUCraA0etqRFyX&#10;jhZcpK3gSSYltF7YTqcbUdxlQJ7nZZJd8GReZ42yo4qsYgq2JIuylc6ZWW2eZ4n6Ks9lplA1cWCn&#10;yvyGSeB5qn+Pzk5ZPBOsLcqkWwK7yxI29lSzsoFJh6EumGJoLsqtoeoyEVzyXJ0kvB7ZjRhEYBfY&#10;3cDmSvB5a/YyixezdgAdiNpA/a2HTb68fiZQmYISfBJExPMxdVDDamDeTI+IxmjRzmL41yvRPm+f&#10;ia5hZt/0tpe5qPVf2BBaGnRvBnSzpUIJNHp6fOo7KIE+HI5dN+jwTwogSX83pjRwEHQH1KWWm6R4&#10;2n9Pg8h+TMLQrGrUTzzS6xuWs2hBmXIFlzwMrucFazPDgtQY9HDhyPf80Cekh+v196/+/O6n17/9&#10;+sePr/76/Qf9/MvPKLDwmU/Pmw47GUuAEU0XX/AUgGZzxY16NIwor8r2G0DItHSAUlfPA8BE4zG2&#10;wPSwYosJDXzdPkDC4lZIdZXxGumHiSOVYOWsUOe8acAsuLATsOvPpbIf9h9oIht+WVYVtLO4atAC&#10;JvaJb1YkeVWmulP3STGbnlcCXTNtX+anW8WtfwMdN6kZTLGyetqkSN20sHElStbMqszRM9RZ6qAq&#10;A6ekn+ySqga2pPnUeGkZynjK0xsDo2kHnm3z+yfcD6MQB4SOe8JfaAo+4Uvk6dXqtYE8tH0gtYRm&#10;TWHXvp/tNaPxvY5jDDh26h9IJh4YhjYcb0P6WzwLINcQtYfZW8Tc4u/S/Ozi7x1IoC4VHBtVWU+c&#10;cF0nOxhWy+myA86SjQS3jhuOLXgouHgJigGnDar+ds4E6Kf6rAEzj7DnaS9vXjw/IPAi1num6z2s&#10;SWAoUKGD7OO5sifDvBXaUnobbPjHYKB5acxkJcFOmf+iAvHY9SOX0MHlDAo0tn+wAgMcWPe7S4GY&#10;dt73qMBHq8DAJQHBEKlsuUDjrw4W4HD+7xLg0QXqqPWRu0CCqQ8+HoOfskGqds0mQnvzSGvt7PXg&#10;5DDxFQaFh/oIZHF/9vouZEQmZu2Oxj7Y7eOlexRgQfi340D9z0KmKBq7lOAIsN1ky4DcOYw7xcVr&#10;bFHq22hYsxVtsAVh6pEtkyDvzSt3ZzQB8X0cue52dGEgPti5D/FtGG6HtxiiahvempxwfxpzDG//&#10;t+Gt59IooHQ8FCCG8BYbUbw7Ba7KC72Tx2vRxVGBjzTBCokfggAxJDr2uFoJcEjlD0rxhwRrhwvE&#10;pKvkHPOrR5tfYexiStwQCqNbCuzqsAcWmYYMa4cCjy7wmGBhQmjkjqMxRNGbITvEaKs655vG7F4Y&#10;2doSjN6V/fuzV1eWTfD3Dwfv/ahgFxlLH2YF24f7Fyis0MG5rHJnyH7fntohHXvo1D7cy4mQYj+g&#10;JBwKc2vUrteG72S15gbqU1393nMXBembvosK3XDzmsLasa67g5z2J3H3w5LfC93mKhIua832u4tl&#10;fRu8/m5uDlaX6Wd/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GcHAABbQ29udGVudF9UeXBlc10ueG1sUEsBAhQACgAAAAAAh07iQAAAAAAAAAAA&#10;AAAAAAYAAAAAAAAAAAAQAAAASQYAAF9yZWxzL1BLAQIUABQAAAAIAIdO4kCKFGY80QAAAJQBAAAL&#10;AAAAAAAAAAEAIAAAAG0GAABfcmVscy8ucmVsc1BLAQIUAAoAAAAAAIdO4kAAAAAAAAAAAAAAAAAE&#10;AAAAAAAAAAAAEAAAAAAAAABkcnMvUEsBAhQAFAAAAAgAh07iQPh0P7rXAAAABQEAAA8AAAAAAAAA&#10;AQAgAAAAIgAAAGRycy9kb3ducmV2LnhtbFBLAQIUABQAAAAIAIdO4kBde9aC9wQAAJQfAAAOAAAA&#10;AAAAAAEAIAAAACYBAABkcnMvZTJvRG9jLnhtbFBLBQYAAAAABgAGAFkBAACPCAAAAAA=&#10;">
                <o:lock v:ext="edit" aspectratio="f"/>
                <v:shape id="直接箭头连接符 7" o:spid="_x0000_s1026" o:spt="32" type="#_x0000_t32" style="position:absolute;left:6022;top:9331;flip:y;height:675;width:1;" filled="f" stroked="t" coordsize="21600,21600" o:gfxdata="UEsDBAoAAAAAAIdO4kAAAAAAAAAAAAAAAAAEAAAAZHJzL1BLAwQUAAAACACHTuJAkoWmEMIAAADj&#10;AAAADwAAAGRycy9kb3ducmV2LnhtbEVPzWrCQBC+F/oOywi9lLpJaCRGVw9trb2INOp9yI5JMDsb&#10;sltN3t4tFHqc73+W68G04kq9aywriKcRCOLS6oYrBcfD5iUD4TyyxtYyKRjJwXr1+LDEXNsbf9O1&#10;8JUIIexyVFB73+VSurImg25qO+LAnW1v0Iezr6Tu8RbCTSuTKJpJgw2Hhho7equpvBQ/RsF7sU83&#10;p+fjkIzldld8Zpc9jx9KPU3iaAHC0+D/xX/uLx3mx/P0Nc3SJIHfnwIAcnUH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JKF&#10;phDCAAAA4wAAAA8AAAAAAAAAAQAgAAAAIgAAAGRycy9kb3ducmV2LnhtbFBLAQIUABQAAAAIAIdO&#10;4kAzLwWeOwAAADkAAAAQAAAAAAAAAAEAIAAAABEBAABkcnMvc2hhcGV4bWwueG1sUEsFBgAAAAAG&#10;AAYAWwEAALsDAAAAAA==&#10;">
                  <v:fill on="f" focussize="0,0"/>
                  <v:stroke color="#000000" joinstyle="round" endarrow="block"/>
                  <v:imagedata o:title=""/>
                  <o:lock v:ext="edit" aspectratio="f"/>
                </v:shape>
                <v:shape id="Text Box 4" o:spid="_x0000_s1026" o:spt="202" type="#_x0000_t202" style="position:absolute;left:5422;top:10006;height:482;width:1247;" fillcolor="#FFFFFF" filled="t" stroked="t" coordsize="21600,21600" o:gfxdata="UEsDBAoAAAAAAIdO4kAAAAAAAAAAAAAAAAAEAAAAZHJzL1BLAwQUAAAACACHTuJAeOyVccIAAADj&#10;AAAADwAAAGRycy9kb3ducmV2LnhtbEVPvW7CMBDeK/UdrKvUBYETaEMIGIZKRXSjgGA9xUcSNT6n&#10;thvg7etKSB3v+7/F6mpa0ZPzjWUF6SgBQVxa3XCl4LB/H+YgfEDW2FomBTfysFo+Piyw0PbCn9Tv&#10;QiViCPsCFdQhdIWUvqzJoB/ZjjhyZ+sMhni6SmqHlxhuWjlOkkwabDg21NjRW03l1+7HKMhfNv3J&#10;f0y2xzI7t7MwmPbrb6fU81OazEEEuoZ/8d290XH+az7L0+k4m8DfTxEAufw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Hjs&#10;lXHCAAAA4wAAAA8AAAAAAAAAAQAgAAAAIgAAAGRycy9kb3ducmV2LnhtbFBLAQIUABQAAAAIAIdO&#10;4kAzLwWeOwAAADkAAAAQAAAAAAAAAAEAIAAAABEBAABkcnMvc2hhcGV4bWwueG1sUEsFBgAAAAAG&#10;AAYAWwEAALsDAAAAAA==&#10;">
                  <v:fill on="t" focussize="0,0"/>
                  <v:stroke color="#000000" miterlimit="8" joinstyle="miter"/>
                  <v:imagedata o:title=""/>
                  <o:lock v:ext="edit" aspectratio="f"/>
                  <v:textbox>
                    <w:txbxContent>
                      <w:p w14:paraId="210DF0CA">
                        <w:pPr>
                          <w:jc w:val="center"/>
                        </w:pPr>
                        <w:r>
                          <w:rPr>
                            <w:rFonts w:hint="eastAsia"/>
                          </w:rPr>
                          <w:t>业务员</w:t>
                        </w:r>
                      </w:p>
                    </w:txbxContent>
                  </v:textbox>
                </v:shape>
                <v:shape id="Text Box 5" o:spid="_x0000_s1026" o:spt="202" type="#_x0000_t202" style="position:absolute;left:7177;top:10006;height:482;width:1169;" fillcolor="#FFFFFF" filled="t" stroked="t" coordsize="21600,21600" o:gfxdata="UEsDBAoAAAAAAIdO4kAAAAAAAAAAAAAAAAAEAAAAZHJzL1BLAwQUAAAACACHTuJAyPuFDMEAAADj&#10;AAAADwAAAGRycy9kb3ducmV2LnhtbEVPO0/DMBDekfgP1iGxIGonLaENcTsggdoNCoL1FF8eIj4H&#10;26Tl39eVkBjve1+1OdpBTORD71hDNlMgiGtnem41vL893S5BhIhscHBMGn4pwGZ9eVFhadyBX2na&#10;x1akEA4lauhiHEspQ92RxTBzI3HiGuctxnT6VhqPhxRuB5krVUiLPaeGDkd67Kj+2v9YDcvFdvoM&#10;u/nLR100wyre3E/P317r66tMPYCIdIz/4j/31qT52VzdrVRe5HD+KQEg1y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yPuF&#10;DMEAAADjAAAADwAAAAAAAAABACAAAAAiAAAAZHJzL2Rvd25yZXYueG1sUEsBAhQAFAAAAAgAh07i&#10;QDMvBZ47AAAAOQAAABAAAAAAAAAAAQAgAAAAEAEAAGRycy9zaGFwZXhtbC54bWxQSwUGAAAAAAYA&#10;BgBbAQAAugMAAAAA&#10;">
                  <v:fill on="t" focussize="0,0"/>
                  <v:stroke color="#000000" miterlimit="8" joinstyle="miter"/>
                  <v:imagedata o:title=""/>
                  <o:lock v:ext="edit" aspectratio="f"/>
                  <v:textbox>
                    <w:txbxContent>
                      <w:p w14:paraId="6D73993D">
                        <w:pPr>
                          <w:jc w:val="center"/>
                        </w:pPr>
                        <w:r>
                          <w:rPr>
                            <w:rFonts w:hint="eastAsia"/>
                          </w:rPr>
                          <w:t>生产操作员</w:t>
                        </w:r>
                      </w:p>
                    </w:txbxContent>
                  </v:textbox>
                </v:shape>
                <v:shape id="Text Box 6" o:spid="_x0000_s1026" o:spt="202" type="#_x0000_t202" style="position:absolute;left:3667;top:10006;height:482;width:1247;" fillcolor="#FFFFFF" filled="t" stroked="t" coordsize="21600,21600" o:gfxdata="UEsDBAoAAAAAAIdO4kAAAAAAAAAAAAAAAAAEAAAAZHJzL1BLAwQUAAAACACHTuJA4EA7A8QAAADi&#10;AAAADwAAAGRycy9kb3ducmV2LnhtbEWPzWrDMBCE74W+g9hCLyWR7JY4caPkUGhJbs0PyXWxNrap&#10;tXIl1UnfPioUchxm5htmvrzYTgzkQ+tYQzZWIIgrZ1quNex376MpiBCRDXaOScMvBVgu7u/mWBp3&#10;5g0N21iLBOFQooYmxr6UMlQNWQxj1xMn7+S8xZikr6XxeE5w28lcqYm02HJaaLCnt4aqr+2P1TB9&#10;WQ3HsH7+PFSTUzeLT8Xw8e21fnzI1CuISJd4C/+3V0ZDofIiz3KVwd+ldAfk4gp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4EA7A8QAAADiAAAADwAAAAAAAAABACAAAAAiAAAAZHJzL2Rvd25yZXYueG1sUEsBAhQAFAAAAAgA&#10;h07iQDMvBZ47AAAAOQAAABAAAAAAAAAAAQAgAAAAEwEAAGRycy9zaGFwZXhtbC54bWxQSwUGAAAA&#10;AAYABgBbAQAAvQMAAAAA&#10;">
                  <v:fill on="t" focussize="0,0"/>
                  <v:stroke color="#000000" miterlimit="8" joinstyle="miter"/>
                  <v:imagedata o:title=""/>
                  <o:lock v:ext="edit" aspectratio="f"/>
                  <v:textbox>
                    <w:txbxContent>
                      <w:p w14:paraId="46C72AC7">
                        <w:pPr>
                          <w:jc w:val="center"/>
                        </w:pPr>
                        <w:r>
                          <w:rPr>
                            <w:rFonts w:hint="eastAsia"/>
                          </w:rPr>
                          <w:t>办事员</w:t>
                        </w:r>
                      </w:p>
                    </w:txbxContent>
                  </v:textbox>
                </v:shape>
                <v:shape id="AutoShape 7" o:spid="_x0000_s1026" o:spt="32" type="#_x0000_t32" style="position:absolute;left:4914;top:10278;height:1;width:508;" filled="f" stroked="t" coordsize="21600,21600" o:gfxdata="UEsDBAoAAAAAAIdO4kAAAAAAAAAAAAAAAAAEAAAAZHJzL1BLAwQUAAAACACHTuJAaZI5bsAAAADj&#10;AAAADwAAAGRycy9kb3ducmV2LnhtbEVPS2sCMRC+F/wPYQq9FE2y+FyNIoVCe6wKXofNuLt2M1k2&#10;0bX++qZQ8Djfe1abm2vElbpQezagRwoEceFtzaWBw/59OAcRIrLFxjMZ+KEAm/XgaYW59T1/0XUX&#10;S5FCOORooIqxzaUMRUUOw8i3xIk7+c5hTGdXStthn8JdIzOlptJhzamhwpbeKiq+dxdngMJlotV2&#10;4crD571/PWb3c9/ujXl51moJItItPsT/7g+b5md6OhmPlZ7B308JALn+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pkjlu&#10;wAAAAOMAAAAPAAAAAAAAAAEAIAAAACIAAABkcnMvZG93bnJldi54bWxQSwECFAAUAAAACACHTuJA&#10;My8FnjsAAAA5AAAAEAAAAAAAAAABACAAAAAPAQAAZHJzL3NoYXBleG1sLnhtbFBLBQYAAAAABgAG&#10;AFsBAAC5AwAAAAA=&#10;">
                  <v:fill on="f" focussize="0,0"/>
                  <v:stroke color="#000000" joinstyle="round"/>
                  <v:imagedata o:title=""/>
                  <o:lock v:ext="edit" aspectratio="f"/>
                </v:shape>
                <v:shape id="AutoShape 8" o:spid="_x0000_s1026" o:spt="32" type="#_x0000_t32" style="position:absolute;left:6652;top:10279;height:1;width:525;" filled="f" stroked="t" coordsize="21600,21600" o:gfxdata="UEsDBAoAAAAAAIdO4kAAAAAAAAAAAAAAAAAEAAAAZHJzL1BLAwQUAAAACACHTuJAhYh2UMEAAADj&#10;AAAADwAAAGRycy9kb3ducmV2LnhtbEVPS2vCQBC+F/oflhF6KXU3qYpJs5FSKNSjD+h1yI5JanY2&#10;ZFdj/fVuoeBxvvcUq4vtxJkG3zrWkEwVCOLKmZZrDfvd58sShA/IBjvHpOGXPKzKx4cCc+NG3tB5&#10;G2oRQ9jnqKEJoc+l9FVDFv3U9cSRO7jBYojnUEsz4BjDbSdTpRbSYsuxocGePhqqjtuT1UD+NE/U&#10;e2br/fo6Pn+n15+x32n9NEnUG4hAl3AX/7u/TJyfZa9qkSbZDP5+igDI8gZ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Yh2&#10;UMEAAADjAAAADwAAAAAAAAABACAAAAAiAAAAZHJzL2Rvd25yZXYueG1sUEsBAhQAFAAAAAgAh07i&#10;QDMvBZ47AAAAOQAAABAAAAAAAAAAAQAgAAAAEAEAAGRycy9zaGFwZXhtbC54bWxQSwUGAAAAAAYA&#10;BgBbAQAAugMAAAAA&#10;">
                  <v:fill on="f" focussize="0,0"/>
                  <v:stroke color="#000000" joinstyle="round"/>
                  <v:imagedata o:title=""/>
                  <o:lock v:ext="edit" aspectratio="f"/>
                </v:shape>
                <v:shape id="Text Box 9" o:spid="_x0000_s1026" o:spt="202" type="#_x0000_t202" style="position:absolute;left:5422;top:8806;height:480;width:1213;" fillcolor="#FFFFFF" filled="t" stroked="t" coordsize="21600,21600" o:gfxdata="UEsDBAoAAAAAAIdO4kAAAAAAAAAAAAAAAAAEAAAAZHJzL1BLAwQUAAAACACHTuJAmrIsMsQAAADi&#10;AAAADwAAAGRycy9kb3ducmV2LnhtbEWPzW7CMBCE75X6DtZW6qUCO6H8pRgOlUD0RgHR6ypekqjx&#10;OrVNoG9fV6rU42hmvtEsVjfbip58aBxryIYKBHHpTMOVhuNhPZiBCBHZYOuYNHxTgNXy/m6BhXFX&#10;fqd+HyuRIBwK1FDH2BVShrImi2HoOuLknZ23GJP0lTQerwluW5krNZEWG04LNXb0WlP5ub9YDbPn&#10;bf8R3ka7Uzk5t/P4NO03X17rx4dMvYCIdIv/4b/21miY5uNxNlcqh99L6Q7I5Q9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mrIsMsQAAADiAAAADwAAAAAAAAABACAAAAAiAAAAZHJzL2Rvd25yZXYueG1sUEsBAhQAFAAAAAgA&#10;h07iQDMvBZ47AAAAOQAAABAAAAAAAAAAAQAgAAAAEwEAAGRycy9zaGFwZXhtbC54bWxQSwUGAAAA&#10;AAYABgBbAQAAvQMAAAAA&#10;">
                  <v:fill on="t" focussize="0,0"/>
                  <v:stroke color="#000000" miterlimit="8" joinstyle="miter"/>
                  <v:imagedata o:title=""/>
                  <o:lock v:ext="edit" aspectratio="f"/>
                  <v:textbox>
                    <w:txbxContent>
                      <w:p w14:paraId="3A829DF3">
                        <w:pPr>
                          <w:jc w:val="center"/>
                        </w:pPr>
                        <w:r>
                          <w:rPr>
                            <w:rFonts w:hint="eastAsia"/>
                          </w:rPr>
                          <w:t>业务主管</w:t>
                        </w:r>
                      </w:p>
                    </w:txbxContent>
                  </v:textbox>
                </v:shape>
                <v:shape id="Text Box 10" o:spid="_x0000_s1026" o:spt="202" type="#_x0000_t202" style="position:absolute;left:5422;top:7606;height:480;width:1247;" fillcolor="#FFFFFF" filled="t" stroked="t" coordsize="21600,21600" o:gfxdata="UEsDBAoAAAAAAIdO4kAAAAAAAAAAAAAAAAAEAAAAZHJzL1BLAwQUAAAACACHTuJAhFzAGsEAAADj&#10;AAAADwAAAGRycy9kb3ducmV2LnhtbEVPzU4CMRC+k/gOzZh4IdIipMBK4UCCwRug0etkO+xu3E7X&#10;ti749taEhON8/7NcX1wregqx8WxgPFIgiEtvG64MvL9tH+cgYkK22HomA78UYb26GyyxsP7MB+qP&#10;qRI5hGOBBuqUukLKWNbkMI58R5y5kw8OUz5DJW3Acw53rXxSSkuHDeeGGjva1FR+HX+cgfl013/G&#10;18n+o9SndpGGs/7lOxjzcD9WzyASXdJNfHXvbJ4/VXox03qi4f+nDIBc/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FzA&#10;GsEAAADjAAAADwAAAAAAAAABACAAAAAiAAAAZHJzL2Rvd25yZXYueG1sUEsBAhQAFAAAAAgAh07i&#10;QDMvBZ47AAAAOQAAABAAAAAAAAAAAQAgAAAAEAEAAGRycy9zaGFwZXhtbC54bWxQSwUGAAAAAAYA&#10;BgBbAQAAugMAAAAA&#10;">
                  <v:fill on="t" focussize="0,0"/>
                  <v:stroke color="#000000" miterlimit="8" joinstyle="miter"/>
                  <v:imagedata o:title=""/>
                  <o:lock v:ext="edit" aspectratio="f"/>
                  <v:textbox>
                    <w:txbxContent>
                      <w:p w14:paraId="1A6E1594">
                        <w:pPr>
                          <w:jc w:val="center"/>
                        </w:pPr>
                        <w:r>
                          <w:rPr>
                            <w:rFonts w:hint="eastAsia"/>
                          </w:rPr>
                          <w:t>公司高管</w:t>
                        </w:r>
                      </w:p>
                    </w:txbxContent>
                  </v:textbox>
                </v:shape>
                <v:shape id="Text Box 11" o:spid="_x0000_s1026" o:spt="202" type="#_x0000_t202" style="position:absolute;left:7177;top:8806;height:482;width:1121;" fillcolor="#FFFFFF" filled="t" stroked="t" coordsize="21600,21600" o:gfxdata="UEsDBAoAAAAAAIdO4kAAAAAAAAAAAAAAAAAEAAAAZHJzL1BLAwQUAAAACACHTuJA7f3SD8QAAADi&#10;AAAADwAAAGRycy9kb3ducmV2LnhtbEWPQWvCQBSE74X+h+UVeim6ibYxpq4eBMXe1IpeH9lnEpp9&#10;G3e3Uf99t1DocZj5ZpjZ4mZa0ZPzjWUF6TABQVxa3XCl4PC5GuQgfEDW2FomBXfysJg/Psyw0PbK&#10;O+r3oRKxhH2BCuoQukJKX9Zk0A9tRxy9s3UGQ5SuktrhNZabVo6SJJMGG44LNXa0rKn82n8bBfnr&#10;pj/5j/H2WGbndhpeJv364pR6fkqTdxCBbuE//EdvdORGb/kky9Ip/F6Kd0DOfwB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7f3SD8QAAADiAAAADwAAAAAAAAABACAAAAAiAAAAZHJzL2Rvd25yZXYueG1sUEsBAhQAFAAAAAgA&#10;h07iQDMvBZ47AAAAOQAAABAAAAAAAAAAAQAgAAAAEwEAAGRycy9zaGFwZXhtbC54bWxQSwUGAAAA&#10;AAYABgBbAQAAvQMAAAAA&#10;">
                  <v:fill on="t" focussize="0,0"/>
                  <v:stroke color="#000000" miterlimit="8" joinstyle="miter"/>
                  <v:imagedata o:title=""/>
                  <o:lock v:ext="edit" aspectratio="f"/>
                  <v:textbox>
                    <w:txbxContent>
                      <w:p w14:paraId="4D9CFC79">
                        <w:pPr>
                          <w:jc w:val="center"/>
                        </w:pPr>
                        <w:r>
                          <w:rPr>
                            <w:rFonts w:hint="eastAsia"/>
                          </w:rPr>
                          <w:t>生技主管</w:t>
                        </w:r>
                      </w:p>
                    </w:txbxContent>
                  </v:textbox>
                </v:shape>
                <v:shape id="Text Box 12" o:spid="_x0000_s1026" o:spt="202" type="#_x0000_t202" style="position:absolute;left:3667;top:8806;height:480;width:1247;" fillcolor="#FFFFFF" filled="t" stroked="t" coordsize="21600,21600" o:gfxdata="UEsDBAoAAAAAAIdO4kAAAAAAAAAAAAAAAAAEAAAAZHJzL1BLAwQUAAAACACHTuJAOCZaqsQAAADj&#10;AAAADwAAAGRycy9kb3ducmV2LnhtbEWPQU/DMAyF70j8h8hIXBBLOlBXyrIdkEDjBgNtV6vx2orG&#10;KUnoxr/HB6QdbT+/977l+uQHNVFMfWALxcyAIm6C67m18PnxfFuBShnZ4RCYLPxSgvXq8mKJtQtH&#10;fqdpm1slJpxqtNDlPNZap6Yjj2kWRmK5HUL0mGWMrXYRj2LuBz03ptQee5aEDkd66qj52v54C9X9&#10;Ztqn17u3XVMehod8s5hevqO111eFeQSV6ZTP4v/vjZP6hSnKuakWQiFMsgC9+gN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OCZaqsQAAADjAAAADwAAAAAAAAABACAAAAAiAAAAZHJzL2Rvd25yZXYueG1sUEsBAhQAFAAAAAgA&#10;h07iQDMvBZ47AAAAOQAAABAAAAAAAAAAAQAgAAAAEwEAAGRycy9zaGFwZXhtbC54bWxQSwUGAAAA&#10;AAYABgBbAQAAvQMAAAAA&#10;">
                  <v:fill on="t" focussize="0,0"/>
                  <v:stroke color="#000000" miterlimit="8" joinstyle="miter"/>
                  <v:imagedata o:title=""/>
                  <o:lock v:ext="edit" aspectratio="f"/>
                  <v:textbox>
                    <w:txbxContent>
                      <w:p w14:paraId="1CEEAF07">
                        <w:pPr>
                          <w:jc w:val="center"/>
                        </w:pPr>
                        <w:r>
                          <w:rPr>
                            <w:rFonts w:hint="eastAsia"/>
                          </w:rPr>
                          <w:t>行政主管</w:t>
                        </w:r>
                      </w:p>
                    </w:txbxContent>
                  </v:textbox>
                </v:shape>
                <v:shape id="AutoShape 13" o:spid="_x0000_s1026" o:spt="32" type="#_x0000_t32" style="position:absolute;left:4897;top:9030;height:0;width:525;" filled="f" stroked="t" coordsize="21600,21600" o:gfxdata="UEsDBAoAAAAAAIdO4kAAAAAAAAAAAAAAAAAEAAAAZHJzL1BLAwQUAAAACACHTuJAL3CD778AAADj&#10;AAAADwAAAGRycy9kb3ducmV2LnhtbEVPX2vCMBB/H/gdwg32NpNWLLMaRQXFV3WMPZ7NrS02l9Jk&#10;av30ZjDw8X7/b7a42UZcqPO1Yw3JUIEgLpypudTwedy8f4DwAdlg45g09ORhMR+8zDA37sp7uhxC&#10;KWII+xw1VCG0uZS+qMiiH7qWOHI/rrMY4tmV0nR4jeG2kalSmbRYc2yosKV1RcX58Gs1bDLfJsez&#10;Wn2R3d5P/rs3uOy1fntN1BREoFt4iv/dOxPnp2k2UaPJaAx/P0UA5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9wg++/&#10;AAAA4wAAAA8AAAAAAAAAAQAgAAAAIgAAAGRycy9kb3ducmV2LnhtbFBLAQIUABQAAAAIAIdO4kAz&#10;LwWeOwAAADkAAAAQAAAAAAAAAAEAIAAAAA4BAABkcnMvc2hhcGV4bWwueG1sUEsFBgAAAAAGAAYA&#10;WwEAALgDAAAAAA==&#10;">
                  <v:fill on="f" focussize="0,0"/>
                  <v:stroke color="#000000" joinstyle="round" startarrow="block"/>
                  <v:imagedata o:title=""/>
                  <o:lock v:ext="edit" aspectratio="f"/>
                </v:shape>
                <v:shape id="AutoShape 14" o:spid="_x0000_s1026" o:spt="32" type="#_x0000_t32" style="position:absolute;left:6652;top:9030;height:0;width:525;" filled="f" stroked="t" coordsize="21600,21600" o:gfxdata="UEsDBAoAAAAAAIdO4kAAAAAAAAAAAAAAAAAEAAAAZHJzL1BLAwQUAAAACACHTuJAMLKUScQAAADi&#10;AAAADwAAAGRycy9kb3ducmV2LnhtbEWPTUsDMRCG74L/IYzQm81uoatdmxbaIu5FwVbE47AZN8HN&#10;ZNnEfvjrnYPgcXjnfV6e5focenWkMfnIBsppAYq4jdZzZ+Dt8Hh7DyplZIt9ZDJwoQTr1fXVEmsb&#10;T/xKx33ulEA41WjA5TzUWqfWUcA0jQOxZJ9xDJjlHDttRzwJPPR6VhSVDuhZFhwOtHXUfu2/g4G8&#10;+7i46r3dLPzL4em58j9N0+yMmdyUxQOoTOf8//zXbqyB+d1iVgpVJERJdECvfgF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MLKUScQAAADiAAAADwAAAAAAAAABACAAAAAiAAAAZHJzL2Rvd25yZXYueG1sUEsBAhQAFAAAAAgA&#10;h07iQDMvBZ47AAAAOQAAABAAAAAAAAAAAQAgAAAAEwEAAGRycy9zaGFwZXhtbC54bWxQSwUGAAAA&#10;AAYABgBbAQAAvQMAAAAA&#10;">
                  <v:fill on="f" focussize="0,0"/>
                  <v:stroke color="#000000" joinstyle="round" endarrow="block"/>
                  <v:imagedata o:title=""/>
                  <o:lock v:ext="edit" aspectratio="f"/>
                </v:shape>
                <v:shape id="AutoShape 15" o:spid="_x0000_s1026" o:spt="32" type="#_x0000_t32" style="position:absolute;left:6006;top:8086;flip:x y;height:720;width:1;" filled="f" stroked="t" coordsize="21600,21600" o:gfxdata="UEsDBAoAAAAAAIdO4kAAAAAAAAAAAAAAAAAEAAAAZHJzL1BLAwQUAAAACACHTuJAnzE4J8QAAADi&#10;AAAADwAAAGRycy9kb3ducmV2LnhtbEWPT0sDMRTE70K/Q3iCN5uk6HZdm/ZQEAQV6Z+Lt8fmdXfp&#10;5iXdxG399kYQehxm5jfMYnVxvRhpiJ1nA3qqQBDX3nbcGNjvXu5LEDEhW+w9k4EfirBaTm4WWFl/&#10;5g2N29SIDOFYoYE2pVBJGeuWHMapD8TZO/jBYcpyaKQd8JzhrpczpQrpsOO80GKgdUv1cfvtDBxU&#10;qD+fdm/2dAoPY/P+tQ/642jM3a1WzyASXdI1/N9+tQbKQj/Oi1mp4e9SvgNy+Qt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nzE4J8QAAADiAAAADwAAAAAAAAABACAAAAAiAAAAZHJzL2Rvd25yZXYueG1sUEsBAhQAFAAAAAgA&#10;h07iQDMvBZ47AAAAOQAAABAAAAAAAAAAAQAgAAAAEwEAAGRycy9zaGFwZXhtbC54bWxQSwUGAAAA&#10;AAYABgBbAQAAvQMAAAAA&#10;">
                  <v:fill on="f" focussize="0,0"/>
                  <v:stroke color="#000000" joinstyle="round" endarrow="block"/>
                  <v:imagedata o:title=""/>
                  <o:lock v:ext="edit" aspectratio="f"/>
                </v:shape>
                <w10:wrap type="none"/>
                <w10:anchorlock/>
              </v:group>
            </w:pict>
          </mc:Fallback>
        </mc:AlternateContent>
      </w:r>
    </w:p>
    <w:p w14:paraId="348CB8E5">
      <w:pPr>
        <w:tabs>
          <w:tab w:val="left" w:pos="720"/>
        </w:tabs>
        <w:spacing w:line="360" w:lineRule="auto"/>
        <w:jc w:val="center"/>
        <w:rPr>
          <w:rFonts w:ascii="宋体" w:hAnsi="宋体" w:cs="宋体"/>
          <w:sz w:val="24"/>
        </w:rPr>
      </w:pPr>
      <w:r>
        <w:rPr>
          <w:rFonts w:ascii="宋体" w:hAnsi="宋体" w:cs="宋体"/>
          <w:sz w:val="24"/>
        </w:rPr>
        <w:t>图1  职业生涯路径</w:t>
      </w:r>
    </w:p>
    <w:p w14:paraId="10C24377">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（四）专业核心课程</w:t>
      </w:r>
    </w:p>
    <w:p w14:paraId="6204D76E">
      <w:pPr>
        <w:adjustRightIn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港口业务与操作、港口理货业务、班轮运输实务、租船运输实务、国际船舶代理业务、国际货运代理实务、国际航运管理、海商法等</w:t>
      </w:r>
      <w:r>
        <w:rPr>
          <w:rFonts w:asciiTheme="minorEastAsia" w:hAnsiTheme="minorEastAsia" w:eastAsiaTheme="minorEastAsia"/>
          <w:sz w:val="28"/>
          <w:szCs w:val="28"/>
        </w:rPr>
        <w:t>。</w:t>
      </w:r>
    </w:p>
    <w:p w14:paraId="42CC460B">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（五）毕业资格条件</w:t>
      </w:r>
    </w:p>
    <w:p w14:paraId="37A6001C">
      <w:pPr>
        <w:pStyle w:val="2"/>
        <w:spacing w:before="312" w:after="312"/>
        <w:ind w:firstLine="0" w:firstLineChars="0"/>
        <w:rPr>
          <w:rFonts w:ascii="微软雅黑" w:hAnsi="微软雅黑" w:eastAsia="微软雅黑"/>
          <w:b/>
          <w:color w:val="auto"/>
          <w:sz w:val="28"/>
          <w:szCs w:val="28"/>
        </w:rPr>
      </w:pPr>
      <w:bookmarkStart w:id="25" w:name="_Toc396497326"/>
      <w:bookmarkStart w:id="26" w:name="_Toc393236439"/>
      <w:bookmarkStart w:id="27" w:name="_Toc396497528"/>
      <w:bookmarkStart w:id="28" w:name="_Toc396501702"/>
      <w:bookmarkStart w:id="29" w:name="_Toc396497636"/>
      <w:r>
        <w:rPr>
          <w:rFonts w:ascii="微软雅黑" w:hAnsi="微软雅黑" w:eastAsia="微软雅黑"/>
          <w:b/>
          <w:color w:val="auto"/>
          <w:sz w:val="28"/>
          <w:szCs w:val="28"/>
        </w:rPr>
        <w:t>（</w:t>
      </w:r>
      <w:r>
        <w:rPr>
          <w:rFonts w:hint="eastAsia" w:ascii="微软雅黑" w:hAnsi="微软雅黑" w:eastAsia="微软雅黑"/>
          <w:b/>
          <w:color w:val="auto"/>
          <w:sz w:val="28"/>
          <w:szCs w:val="28"/>
        </w:rPr>
        <w:t>1</w:t>
      </w:r>
      <w:r>
        <w:rPr>
          <w:rFonts w:ascii="微软雅黑" w:hAnsi="微软雅黑" w:eastAsia="微软雅黑"/>
          <w:b/>
          <w:color w:val="auto"/>
          <w:sz w:val="28"/>
          <w:szCs w:val="28"/>
        </w:rPr>
        <w:t xml:space="preserve">）毕业学分要求 </w:t>
      </w:r>
    </w:p>
    <w:p w14:paraId="1A9950D2">
      <w:pPr>
        <w:adjustRightIn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学生共需修满154学分，其中通识必修课应修满</w:t>
      </w:r>
      <w:r>
        <w:rPr>
          <w:rFonts w:asciiTheme="minorEastAsia" w:hAnsiTheme="minorEastAsia" w:eastAsiaTheme="minorEastAsia"/>
          <w:sz w:val="28"/>
          <w:szCs w:val="28"/>
        </w:rPr>
        <w:t>40</w:t>
      </w:r>
      <w:r>
        <w:rPr>
          <w:rFonts w:hint="eastAsia" w:asciiTheme="minorEastAsia" w:hAnsiTheme="minorEastAsia" w:eastAsiaTheme="minorEastAsia"/>
          <w:sz w:val="28"/>
          <w:szCs w:val="28"/>
        </w:rPr>
        <w:t>学分，通识限选课修满7学分, 通识任选课修满</w:t>
      </w:r>
      <w:r>
        <w:rPr>
          <w:rFonts w:asciiTheme="minorEastAsia" w:hAnsiTheme="minorEastAsia" w:eastAsiaTheme="minorEastAsia"/>
          <w:sz w:val="28"/>
          <w:szCs w:val="28"/>
        </w:rPr>
        <w:t>4</w:t>
      </w:r>
      <w:r>
        <w:rPr>
          <w:rFonts w:hint="eastAsia" w:asciiTheme="minorEastAsia" w:hAnsiTheme="minorEastAsia" w:eastAsiaTheme="minorEastAsia"/>
          <w:sz w:val="28"/>
          <w:szCs w:val="28"/>
        </w:rPr>
        <w:t>学分；专业必修课修满42学分，专业限选课至少修满10学分,素质拓展与社会实践课程修满</w:t>
      </w:r>
      <w:r>
        <w:rPr>
          <w:rFonts w:asciiTheme="minorEastAsia" w:hAnsiTheme="minorEastAsia" w:eastAsiaTheme="minorEastAsia"/>
          <w:sz w:val="28"/>
          <w:szCs w:val="28"/>
        </w:rPr>
        <w:t>8</w:t>
      </w:r>
      <w:r>
        <w:rPr>
          <w:rFonts w:hint="eastAsia" w:asciiTheme="minorEastAsia" w:hAnsiTheme="minorEastAsia" w:eastAsiaTheme="minorEastAsia"/>
          <w:sz w:val="28"/>
          <w:szCs w:val="28"/>
        </w:rPr>
        <w:t>学分，综合实践课程必修满43学分，综合实践课程限选课修满4学分。各类课程学分可根据《江苏海院学分积累、转换和认定办法》予以认定。</w:t>
      </w:r>
    </w:p>
    <w:p w14:paraId="5F5A2331">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 xml:space="preserve">（2）计算机证书要求 </w:t>
      </w:r>
    </w:p>
    <w:p w14:paraId="061C7977">
      <w:pPr>
        <w:adjustRightInd w:val="0"/>
        <w:spacing w:line="360" w:lineRule="auto"/>
        <w:ind w:firstLine="560" w:firstLineChars="200"/>
      </w:pPr>
      <w:r>
        <w:rPr>
          <w:rFonts w:hint="eastAsia" w:asciiTheme="minorEastAsia" w:hAnsiTheme="minorEastAsia" w:eastAsiaTheme="minorEastAsia"/>
          <w:sz w:val="28"/>
          <w:szCs w:val="28"/>
        </w:rPr>
        <w:t>鼓励学生考取计算机证书，但不将其作为毕业资格要求。考取全国计算机ATA 证书或江苏省计算机等级考试一级证书可申请信息技术类课程免修，直接置换对应学分。</w:t>
      </w:r>
      <w:r>
        <w:rPr>
          <w:rFonts w:hint="eastAsia" w:ascii="宋体" w:hAnsi="宋体" w:cs="宋体"/>
          <w:color w:val="000000"/>
          <w:kern w:val="0"/>
          <w:sz w:val="24"/>
          <w:szCs w:val="24"/>
          <w:lang w:bidi="ar"/>
        </w:rPr>
        <w:t xml:space="preserve"> </w:t>
      </w:r>
    </w:p>
    <w:p w14:paraId="26A11610">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 xml:space="preserve">（3）外语等级考试要求 </w:t>
      </w:r>
    </w:p>
    <w:p w14:paraId="2F934C44">
      <w:pPr>
        <w:adjustRightIn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获得高校英语应用能力 B 级证书或取得 A 级 50 分及以上成绩。对标准学制内未能取得规定外语等级考试要求学生，可以在标准学制后弹性学制内申请参加学校组织的英语应用能力水平考试，合格后方可毕业。 </w:t>
      </w:r>
    </w:p>
    <w:p w14:paraId="1D84FB17">
      <w:pPr>
        <w:adjustRightIn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为鼓励学生考取更高等级英语证书，对考取比毕业要求等级高，且至少为高校英语应用能力 A 级证书或口语证书的学生，可以用证书置换高职英语课程 2个学期学分，成绩认定为 85 分（A 级或口语）、90 分（四级）或 95 分（六级），也可申请课程免修。 </w:t>
      </w:r>
    </w:p>
    <w:p w14:paraId="6615A889">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 xml:space="preserve">（4）职业技能或职业资格证书要求 </w:t>
      </w:r>
    </w:p>
    <w:p w14:paraId="27FB8BA9">
      <w:pPr>
        <w:adjustRightIn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实行“学历证书+职业技能等级证书”制度，鼓励学生在获得学历证书的同时，积极取得多类职业技能等级证书，但不将其作为学生毕业条件之一。建议学生取得“1+X”港口与航运管理职业技能等级（中级）证书，对考取规定等级证书学生可申请置换所融入的 1-2 门课程学分，成绩直接认定为 85 分（不能申请免听）。</w:t>
      </w:r>
    </w:p>
    <w:p w14:paraId="45A979C1">
      <w:pPr>
        <w:widowControl/>
        <w:jc w:val="left"/>
      </w:pPr>
      <w:r>
        <w:rPr>
          <w:rFonts w:ascii="微软雅黑" w:hAnsi="微软雅黑" w:eastAsia="微软雅黑"/>
          <w:b/>
          <w:sz w:val="28"/>
          <w:szCs w:val="28"/>
        </w:rPr>
        <w:t>（</w:t>
      </w:r>
      <w:r>
        <w:rPr>
          <w:rFonts w:hint="eastAsia" w:ascii="微软雅黑" w:hAnsi="微软雅黑" w:eastAsia="微软雅黑"/>
          <w:b/>
          <w:sz w:val="28"/>
          <w:szCs w:val="28"/>
        </w:rPr>
        <w:t>5</w:t>
      </w:r>
      <w:r>
        <w:rPr>
          <w:rFonts w:ascii="微软雅黑" w:hAnsi="微软雅黑" w:eastAsia="微软雅黑"/>
          <w:b/>
          <w:sz w:val="28"/>
          <w:szCs w:val="28"/>
        </w:rPr>
        <w:t xml:space="preserve">）学生思想品德考核要求 </w:t>
      </w:r>
    </w:p>
    <w:p w14:paraId="6C9E9DE7">
      <w:pPr>
        <w:adjustRightIn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毕业前思想品德考核必须为合格以上，由学生工作处负责考核、鉴定。 </w:t>
      </w:r>
    </w:p>
    <w:p w14:paraId="521E04C2">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 xml:space="preserve">（6）体制健康测试要求 </w:t>
      </w:r>
    </w:p>
    <w:p w14:paraId="08A6F045">
      <w:pPr>
        <w:adjustRightIn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体制健康测试严格执行“国家学生体质健康标准”，毕业前体制健康测试成绩必须达 50 分以上。对省级以上体育竞赛比赛获三等奖以上学生，可以免除以上要求。因病或残疾可向学校提交免测申请，经医疗单位证明，体育教学部门核准，可以免除以上要求，但须填写《免予执行&lt;国家学生体质健康标准&gt;申请表》存入学生档案。</w:t>
      </w:r>
    </w:p>
    <w:p w14:paraId="5135A50E">
      <w:pPr>
        <w:pStyle w:val="2"/>
        <w:numPr>
          <w:ilvl w:val="0"/>
          <w:numId w:val="1"/>
        </w:numPr>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转专业录取办法</w:t>
      </w:r>
    </w:p>
    <w:p w14:paraId="130BAF16">
      <w:pPr>
        <w:pStyle w:val="2"/>
        <w:spacing w:before="312" w:after="312"/>
        <w:ind w:firstLine="0" w:firstLineChars="0"/>
        <w:rPr>
          <w:rFonts w:ascii="Times New Roman"/>
          <w:sz w:val="28"/>
          <w:szCs w:val="28"/>
        </w:rPr>
      </w:pPr>
      <w:r>
        <w:rPr>
          <w:rFonts w:ascii="微软雅黑" w:hAnsi="微软雅黑" w:eastAsia="微软雅黑"/>
          <w:b/>
          <w:color w:val="auto"/>
          <w:sz w:val="28"/>
          <w:szCs w:val="28"/>
        </w:rPr>
        <w:t>（一）</w:t>
      </w:r>
      <w:r>
        <w:rPr>
          <w:rFonts w:hint="eastAsia" w:ascii="微软雅黑" w:hAnsi="微软雅黑" w:eastAsia="微软雅黑"/>
          <w:b/>
          <w:color w:val="auto"/>
          <w:sz w:val="28"/>
          <w:szCs w:val="28"/>
        </w:rPr>
        <w:t>接受对象</w:t>
      </w:r>
    </w:p>
    <w:p w14:paraId="46D49CF6">
      <w:pPr>
        <w:adjustRightInd w:val="0"/>
        <w:snapToGrid w:val="0"/>
        <w:spacing w:line="360" w:lineRule="auto"/>
        <w:ind w:firstLine="560" w:firstLineChars="200"/>
        <w:rPr>
          <w:rFonts w:ascii="Times New Roman" w:hAnsi="Times New Roman"/>
          <w:sz w:val="28"/>
          <w:szCs w:val="28"/>
        </w:rPr>
      </w:pPr>
      <w:r>
        <w:rPr>
          <w:rFonts w:hint="eastAsia" w:ascii="Times New Roman" w:hAnsi="Times New Roman"/>
          <w:sz w:val="28"/>
          <w:szCs w:val="28"/>
        </w:rPr>
        <w:t>符合《江苏海事职业技术学院学生转专业管理办法（修订案）》遴选方案规定的相关学生。</w:t>
      </w:r>
    </w:p>
    <w:p w14:paraId="7FDB4F3D">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遴选方案</w:t>
      </w:r>
    </w:p>
    <w:p w14:paraId="7334726E">
      <w:pPr>
        <w:spacing w:line="360" w:lineRule="auto"/>
        <w:ind w:firstLine="555"/>
        <w:rPr>
          <w:rFonts w:asciiTheme="minorEastAsia" w:hAnsiTheme="minorEastAsia" w:eastAsiaTheme="minorEastAsia"/>
          <w:sz w:val="28"/>
          <w:szCs w:val="28"/>
        </w:rPr>
      </w:pPr>
      <w:r>
        <w:rPr>
          <w:rFonts w:hint="eastAsia" w:ascii="Times New Roman" w:hAnsi="Times New Roman"/>
          <w:sz w:val="28"/>
          <w:szCs w:val="28"/>
        </w:rPr>
        <w:t>（1）在校学习期间，无挂科。</w:t>
      </w:r>
    </w:p>
    <w:p w14:paraId="3CA39002">
      <w:pPr>
        <w:ind w:firstLine="560" w:firstLineChars="200"/>
        <w:rPr>
          <w:rFonts w:ascii="Times New Roman" w:hAnsi="Times New Roman"/>
          <w:sz w:val="28"/>
          <w:szCs w:val="28"/>
        </w:rPr>
      </w:pPr>
      <w:r>
        <w:rPr>
          <w:rFonts w:hint="eastAsia" w:ascii="Times New Roman" w:hAnsi="Times New Roman"/>
          <w:sz w:val="28"/>
          <w:szCs w:val="28"/>
        </w:rPr>
        <w:t>（2）在校学习期间，无处分记录。</w:t>
      </w:r>
    </w:p>
    <w:p w14:paraId="488C6661">
      <w:pPr>
        <w:ind w:firstLine="560" w:firstLineChars="200"/>
        <w:rPr>
          <w:rFonts w:ascii="Times New Roman" w:hAnsi="Times New Roman"/>
          <w:sz w:val="28"/>
          <w:szCs w:val="28"/>
        </w:rPr>
      </w:pPr>
      <w:r>
        <w:rPr>
          <w:rFonts w:hint="eastAsia" w:ascii="Times New Roman" w:hAnsi="Times New Roman"/>
          <w:sz w:val="28"/>
          <w:szCs w:val="28"/>
        </w:rPr>
        <w:t>（3）当申请学生数大于可录取数时，以当前学期平均学分绩点排名为序，择优录取。</w:t>
      </w:r>
      <w:bookmarkEnd w:id="25"/>
      <w:bookmarkEnd w:id="26"/>
      <w:bookmarkEnd w:id="27"/>
      <w:bookmarkEnd w:id="28"/>
      <w:bookmarkEnd w:id="29"/>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F3BE9">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1F10B"/>
    <w:multiLevelType w:val="singleLevel"/>
    <w:tmpl w:val="D261F10B"/>
    <w:lvl w:ilvl="0" w:tentative="0">
      <w:start w:val="2"/>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4NDNmMzcyNzEzYTUzMTZmNWFiY2IwZThlZDYzOTIifQ=="/>
  </w:docVars>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3F39"/>
    <w:rsid w:val="00075402"/>
    <w:rsid w:val="00075551"/>
    <w:rsid w:val="0008367B"/>
    <w:rsid w:val="00083C59"/>
    <w:rsid w:val="00083DED"/>
    <w:rsid w:val="0008481C"/>
    <w:rsid w:val="00085B6D"/>
    <w:rsid w:val="00085C43"/>
    <w:rsid w:val="0008669F"/>
    <w:rsid w:val="000918CB"/>
    <w:rsid w:val="000956F1"/>
    <w:rsid w:val="000A00CF"/>
    <w:rsid w:val="000A0EB6"/>
    <w:rsid w:val="000A62DC"/>
    <w:rsid w:val="000A6911"/>
    <w:rsid w:val="000B5D50"/>
    <w:rsid w:val="000D28D7"/>
    <w:rsid w:val="000D434A"/>
    <w:rsid w:val="000D6896"/>
    <w:rsid w:val="000E7029"/>
    <w:rsid w:val="000F21AB"/>
    <w:rsid w:val="000F4F92"/>
    <w:rsid w:val="000F75CD"/>
    <w:rsid w:val="00112D75"/>
    <w:rsid w:val="00112F7F"/>
    <w:rsid w:val="00114BF6"/>
    <w:rsid w:val="00120749"/>
    <w:rsid w:val="0012179F"/>
    <w:rsid w:val="001219A1"/>
    <w:rsid w:val="00160373"/>
    <w:rsid w:val="00160624"/>
    <w:rsid w:val="00163CAB"/>
    <w:rsid w:val="00164FE4"/>
    <w:rsid w:val="00175F7A"/>
    <w:rsid w:val="00176F3A"/>
    <w:rsid w:val="00182CB1"/>
    <w:rsid w:val="001856F9"/>
    <w:rsid w:val="00190B98"/>
    <w:rsid w:val="00191FF6"/>
    <w:rsid w:val="001926F8"/>
    <w:rsid w:val="0019454A"/>
    <w:rsid w:val="001A3421"/>
    <w:rsid w:val="001A4389"/>
    <w:rsid w:val="001A7A20"/>
    <w:rsid w:val="001B1D3B"/>
    <w:rsid w:val="001B644F"/>
    <w:rsid w:val="001B6CDB"/>
    <w:rsid w:val="001C0A25"/>
    <w:rsid w:val="001C2B09"/>
    <w:rsid w:val="001D0185"/>
    <w:rsid w:val="001D1B72"/>
    <w:rsid w:val="001D277B"/>
    <w:rsid w:val="001E1361"/>
    <w:rsid w:val="001E138C"/>
    <w:rsid w:val="001F0F0E"/>
    <w:rsid w:val="001F75D5"/>
    <w:rsid w:val="0020389C"/>
    <w:rsid w:val="00203CC0"/>
    <w:rsid w:val="00203D4D"/>
    <w:rsid w:val="00204A76"/>
    <w:rsid w:val="00205290"/>
    <w:rsid w:val="00220184"/>
    <w:rsid w:val="00220752"/>
    <w:rsid w:val="002267CC"/>
    <w:rsid w:val="002336A9"/>
    <w:rsid w:val="002426E9"/>
    <w:rsid w:val="00244444"/>
    <w:rsid w:val="00250B53"/>
    <w:rsid w:val="002737B8"/>
    <w:rsid w:val="0028070B"/>
    <w:rsid w:val="00296891"/>
    <w:rsid w:val="002B3EA2"/>
    <w:rsid w:val="002B7D5D"/>
    <w:rsid w:val="002C35DB"/>
    <w:rsid w:val="002C79DD"/>
    <w:rsid w:val="002D3A7E"/>
    <w:rsid w:val="002D7581"/>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0C0B"/>
    <w:rsid w:val="00342689"/>
    <w:rsid w:val="003478C3"/>
    <w:rsid w:val="0035181D"/>
    <w:rsid w:val="00373FB1"/>
    <w:rsid w:val="003747B6"/>
    <w:rsid w:val="003775B6"/>
    <w:rsid w:val="003949E2"/>
    <w:rsid w:val="003A27D2"/>
    <w:rsid w:val="003A56A5"/>
    <w:rsid w:val="003B12EC"/>
    <w:rsid w:val="003B2ACD"/>
    <w:rsid w:val="003B43E0"/>
    <w:rsid w:val="003B6D63"/>
    <w:rsid w:val="003D0082"/>
    <w:rsid w:val="003D0B78"/>
    <w:rsid w:val="003D4C18"/>
    <w:rsid w:val="003E363C"/>
    <w:rsid w:val="003E52D1"/>
    <w:rsid w:val="003F1ABC"/>
    <w:rsid w:val="003F3835"/>
    <w:rsid w:val="003F6CC9"/>
    <w:rsid w:val="004019EC"/>
    <w:rsid w:val="00403D68"/>
    <w:rsid w:val="0042433B"/>
    <w:rsid w:val="00431108"/>
    <w:rsid w:val="0043111D"/>
    <w:rsid w:val="004357CF"/>
    <w:rsid w:val="00435EB3"/>
    <w:rsid w:val="0043676D"/>
    <w:rsid w:val="00440C76"/>
    <w:rsid w:val="004426D5"/>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5EE1"/>
    <w:rsid w:val="00576C24"/>
    <w:rsid w:val="005805B5"/>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F22EA"/>
    <w:rsid w:val="005F5F38"/>
    <w:rsid w:val="00611EF5"/>
    <w:rsid w:val="0061432D"/>
    <w:rsid w:val="006150FA"/>
    <w:rsid w:val="00616201"/>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F060A"/>
    <w:rsid w:val="006F3AC9"/>
    <w:rsid w:val="006F5F7A"/>
    <w:rsid w:val="006F6A60"/>
    <w:rsid w:val="006F71AD"/>
    <w:rsid w:val="00700B39"/>
    <w:rsid w:val="007017ED"/>
    <w:rsid w:val="00710A4D"/>
    <w:rsid w:val="00710DE0"/>
    <w:rsid w:val="007122FB"/>
    <w:rsid w:val="00713554"/>
    <w:rsid w:val="00714161"/>
    <w:rsid w:val="00721E52"/>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5B51"/>
    <w:rsid w:val="007A6510"/>
    <w:rsid w:val="007B51CD"/>
    <w:rsid w:val="007B5341"/>
    <w:rsid w:val="007C17A0"/>
    <w:rsid w:val="007C1C2C"/>
    <w:rsid w:val="007C24E0"/>
    <w:rsid w:val="007C76DE"/>
    <w:rsid w:val="007D25A3"/>
    <w:rsid w:val="007D3826"/>
    <w:rsid w:val="007E3A18"/>
    <w:rsid w:val="007E59E2"/>
    <w:rsid w:val="007E6A5C"/>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C7B6D"/>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3E72"/>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5937"/>
    <w:rsid w:val="00A37D1F"/>
    <w:rsid w:val="00A430E1"/>
    <w:rsid w:val="00A43DA5"/>
    <w:rsid w:val="00A43EEF"/>
    <w:rsid w:val="00A4448C"/>
    <w:rsid w:val="00A45A68"/>
    <w:rsid w:val="00A52F9F"/>
    <w:rsid w:val="00A6153F"/>
    <w:rsid w:val="00A70B19"/>
    <w:rsid w:val="00A72D6B"/>
    <w:rsid w:val="00A83B35"/>
    <w:rsid w:val="00A846C1"/>
    <w:rsid w:val="00A90671"/>
    <w:rsid w:val="00A91572"/>
    <w:rsid w:val="00A93C6C"/>
    <w:rsid w:val="00A968D9"/>
    <w:rsid w:val="00AA1675"/>
    <w:rsid w:val="00AA339F"/>
    <w:rsid w:val="00AA7492"/>
    <w:rsid w:val="00AC1BB0"/>
    <w:rsid w:val="00AC52CB"/>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044F"/>
    <w:rsid w:val="00BB1386"/>
    <w:rsid w:val="00BC1535"/>
    <w:rsid w:val="00BD12B2"/>
    <w:rsid w:val="00BE45ED"/>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3D2C"/>
    <w:rsid w:val="00C44058"/>
    <w:rsid w:val="00C55F73"/>
    <w:rsid w:val="00C57B5F"/>
    <w:rsid w:val="00C62400"/>
    <w:rsid w:val="00C628B1"/>
    <w:rsid w:val="00C637D4"/>
    <w:rsid w:val="00C672A1"/>
    <w:rsid w:val="00C702C7"/>
    <w:rsid w:val="00C712BA"/>
    <w:rsid w:val="00C77FCF"/>
    <w:rsid w:val="00C836B7"/>
    <w:rsid w:val="00C87667"/>
    <w:rsid w:val="00CA11E2"/>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3560"/>
    <w:rsid w:val="00D365D8"/>
    <w:rsid w:val="00D55D97"/>
    <w:rsid w:val="00D56184"/>
    <w:rsid w:val="00D65510"/>
    <w:rsid w:val="00D6676C"/>
    <w:rsid w:val="00D8011F"/>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4245"/>
    <w:rsid w:val="00E07780"/>
    <w:rsid w:val="00E170EB"/>
    <w:rsid w:val="00E31AD2"/>
    <w:rsid w:val="00E34483"/>
    <w:rsid w:val="00E3728A"/>
    <w:rsid w:val="00E44CD2"/>
    <w:rsid w:val="00E451EE"/>
    <w:rsid w:val="00E472B3"/>
    <w:rsid w:val="00E500C8"/>
    <w:rsid w:val="00E52F55"/>
    <w:rsid w:val="00E57E9B"/>
    <w:rsid w:val="00E62309"/>
    <w:rsid w:val="00E62FF7"/>
    <w:rsid w:val="00E65AE3"/>
    <w:rsid w:val="00E7059A"/>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645B"/>
    <w:rsid w:val="00F97B2C"/>
    <w:rsid w:val="00FA0CF8"/>
    <w:rsid w:val="00FA3B67"/>
    <w:rsid w:val="00FA540C"/>
    <w:rsid w:val="00FB62A6"/>
    <w:rsid w:val="00FC3BE4"/>
    <w:rsid w:val="00FD1B4B"/>
    <w:rsid w:val="00FD4FA5"/>
    <w:rsid w:val="00FD6043"/>
    <w:rsid w:val="00FE2E5F"/>
    <w:rsid w:val="00FE3F1A"/>
    <w:rsid w:val="00FF13E9"/>
    <w:rsid w:val="00FF21B3"/>
    <w:rsid w:val="00FF4A2F"/>
    <w:rsid w:val="0A5241C0"/>
    <w:rsid w:val="1BA509E5"/>
    <w:rsid w:val="1DAB71DA"/>
    <w:rsid w:val="1EAD133A"/>
    <w:rsid w:val="22E56FB7"/>
    <w:rsid w:val="39E22AE7"/>
    <w:rsid w:val="3F063725"/>
    <w:rsid w:val="48340C07"/>
    <w:rsid w:val="4A57482F"/>
    <w:rsid w:val="51FF6B7D"/>
    <w:rsid w:val="59AF567A"/>
    <w:rsid w:val="5A945EAD"/>
    <w:rsid w:val="62505BB1"/>
    <w:rsid w:val="62CE53E0"/>
    <w:rsid w:val="63B45DF5"/>
    <w:rsid w:val="7CFE0390"/>
    <w:rsid w:val="7FDC0E1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rPr>
      <w:kern w:val="0"/>
      <w:sz w:val="24"/>
      <w:szCs w:val="20"/>
    </w:rPr>
  </w:style>
  <w:style w:type="paragraph" w:styleId="6">
    <w:name w:val="Plain Text"/>
    <w:basedOn w:val="1"/>
    <w:link w:val="31"/>
    <w:qFormat/>
    <w:uiPriority w:val="0"/>
    <w:rPr>
      <w:rFonts w:ascii="宋体" w:hAnsi="Courier New" w:cs="Courier New"/>
      <w:iCs/>
      <w:color w:val="000000"/>
      <w:szCs w:val="21"/>
    </w:rPr>
  </w:style>
  <w:style w:type="paragraph" w:styleId="7">
    <w:name w:val="Balloon Text"/>
    <w:basedOn w:val="1"/>
    <w:link w:val="26"/>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29"/>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semiHidden/>
    <w:qFormat/>
    <w:uiPriority w:val="99"/>
    <w:rPr>
      <w:b/>
      <w:bCs/>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semiHidden/>
    <w:unhideWhenUsed/>
    <w:qFormat/>
    <w:uiPriority w:val="99"/>
    <w:rPr>
      <w:color w:val="800080"/>
      <w:u w:val="single"/>
    </w:rPr>
  </w:style>
  <w:style w:type="character" w:styleId="16">
    <w:name w:val="Emphasis"/>
    <w:basedOn w:val="14"/>
    <w:qFormat/>
    <w:locked/>
    <w:uiPriority w:val="20"/>
    <w:rPr>
      <w:i/>
      <w:iCs/>
    </w:rPr>
  </w:style>
  <w:style w:type="character" w:styleId="17">
    <w:name w:val="Hyperlink"/>
    <w:basedOn w:val="14"/>
    <w:qFormat/>
    <w:uiPriority w:val="99"/>
    <w:rPr>
      <w:rFonts w:cs="Times New Roman"/>
      <w:color w:val="0000FF"/>
      <w:u w:val="single"/>
    </w:rPr>
  </w:style>
  <w:style w:type="character" w:styleId="18">
    <w:name w:val="annotation reference"/>
    <w:basedOn w:val="14"/>
    <w:qFormat/>
    <w:uiPriority w:val="0"/>
    <w:rPr>
      <w:rFonts w:cs="Times New Roman"/>
      <w:sz w:val="21"/>
    </w:rPr>
  </w:style>
  <w:style w:type="character" w:customStyle="1" w:styleId="19">
    <w:name w:val="标题 1 字符"/>
    <w:basedOn w:val="14"/>
    <w:link w:val="2"/>
    <w:qFormat/>
    <w:locked/>
    <w:uiPriority w:val="99"/>
    <w:rPr>
      <w:rFonts w:ascii="黑体" w:hAnsi="黑体" w:eastAsia="黑体" w:cs="Times New Roman"/>
      <w:color w:val="000000"/>
      <w:sz w:val="32"/>
      <w:szCs w:val="32"/>
    </w:rPr>
  </w:style>
  <w:style w:type="character" w:customStyle="1" w:styleId="20">
    <w:name w:val="标题 2 字符"/>
    <w:basedOn w:val="14"/>
    <w:link w:val="3"/>
    <w:qFormat/>
    <w:locked/>
    <w:uiPriority w:val="99"/>
    <w:rPr>
      <w:rFonts w:ascii="黑体" w:hAnsi="黑体" w:eastAsia="黑体" w:cs="Times New Roman"/>
      <w:color w:val="000000"/>
      <w:sz w:val="28"/>
      <w:szCs w:val="28"/>
    </w:rPr>
  </w:style>
  <w:style w:type="character" w:customStyle="1" w:styleId="21">
    <w:name w:val="标题 3 字符"/>
    <w:basedOn w:val="14"/>
    <w:link w:val="4"/>
    <w:qFormat/>
    <w:locked/>
    <w:uiPriority w:val="99"/>
    <w:rPr>
      <w:rFonts w:ascii="宋体" w:eastAsia="宋体" w:cs="仿宋_GB2312"/>
      <w:b/>
      <w:bCs/>
      <w:sz w:val="24"/>
      <w:szCs w:val="24"/>
    </w:rPr>
  </w:style>
  <w:style w:type="character" w:customStyle="1" w:styleId="22">
    <w:name w:val="Comment Text Char"/>
    <w:qFormat/>
    <w:locked/>
    <w:uiPriority w:val="99"/>
    <w:rPr>
      <w:rFonts w:eastAsia="宋体"/>
      <w:sz w:val="24"/>
    </w:rPr>
  </w:style>
  <w:style w:type="character" w:customStyle="1" w:styleId="23">
    <w:name w:val="批注文字 字符"/>
    <w:basedOn w:val="14"/>
    <w:link w:val="5"/>
    <w:qFormat/>
    <w:locked/>
    <w:uiPriority w:val="0"/>
    <w:rPr>
      <w:rFonts w:cs="Times New Roman"/>
    </w:rPr>
  </w:style>
  <w:style w:type="character" w:customStyle="1" w:styleId="24">
    <w:name w:val="批注文字 Char1"/>
    <w:basedOn w:val="14"/>
    <w:semiHidden/>
    <w:qFormat/>
    <w:uiPriority w:val="99"/>
    <w:rPr>
      <w:rFonts w:cs="Times New Roman"/>
    </w:rPr>
  </w:style>
  <w:style w:type="paragraph" w:customStyle="1" w:styleId="25">
    <w:name w:val="Char Char Char Char"/>
    <w:basedOn w:val="1"/>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semiHidden/>
    <w:qFormat/>
    <w:locked/>
    <w:uiPriority w:val="99"/>
    <w:rPr>
      <w:rFonts w:cs="Times New Roman"/>
      <w:sz w:val="18"/>
      <w:szCs w:val="18"/>
    </w:rPr>
  </w:style>
  <w:style w:type="character" w:customStyle="1" w:styleId="27">
    <w:name w:val="批注主题 字符"/>
    <w:basedOn w:val="22"/>
    <w:link w:val="11"/>
    <w:semiHidden/>
    <w:qFormat/>
    <w:locked/>
    <w:uiPriority w:val="99"/>
    <w:rPr>
      <w:rFonts w:eastAsia="宋体" w:cs="Times New Roman"/>
      <w:b/>
      <w:bCs/>
      <w:sz w:val="24"/>
      <w:szCs w:val="24"/>
    </w:rPr>
  </w:style>
  <w:style w:type="character" w:customStyle="1" w:styleId="28">
    <w:name w:val="页脚 字符"/>
    <w:basedOn w:val="14"/>
    <w:link w:val="8"/>
    <w:qFormat/>
    <w:locked/>
    <w:uiPriority w:val="99"/>
    <w:rPr>
      <w:rFonts w:cs="Times New Roman"/>
      <w:sz w:val="18"/>
      <w:szCs w:val="18"/>
    </w:rPr>
  </w:style>
  <w:style w:type="character" w:customStyle="1" w:styleId="29">
    <w:name w:val="页眉 字符"/>
    <w:basedOn w:val="14"/>
    <w:link w:val="9"/>
    <w:semiHidden/>
    <w:qFormat/>
    <w:locked/>
    <w:uiPriority w:val="99"/>
    <w:rPr>
      <w:rFonts w:cs="Times New Roman"/>
      <w:sz w:val="18"/>
      <w:szCs w:val="18"/>
    </w:rPr>
  </w:style>
  <w:style w:type="character" w:customStyle="1" w:styleId="30">
    <w:name w:val="Plain Text Char"/>
    <w:basedOn w:val="14"/>
    <w:semiHidden/>
    <w:qFormat/>
    <w:locked/>
    <w:uiPriority w:val="99"/>
    <w:rPr>
      <w:rFonts w:ascii="宋体" w:hAnsi="Courier New" w:cs="Courier New"/>
      <w:sz w:val="21"/>
      <w:szCs w:val="21"/>
    </w:rPr>
  </w:style>
  <w:style w:type="character" w:customStyle="1" w:styleId="31">
    <w:name w:val="纯文本 字符"/>
    <w:basedOn w:val="14"/>
    <w:link w:val="6"/>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qFormat/>
    <w:uiPriority w:val="99"/>
    <w:rPr>
      <w:rFonts w:cs="Times New Roman"/>
    </w:rPr>
  </w:style>
  <w:style w:type="paragraph" w:customStyle="1" w:styleId="33">
    <w:name w:val="List Paragraph1"/>
    <w:basedOn w:val="1"/>
    <w:qFormat/>
    <w:uiPriority w:val="99"/>
    <w:pPr>
      <w:ind w:firstLine="420" w:firstLineChars="200"/>
    </w:p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qFormat/>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qFormat/>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qFormat/>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qFormat/>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qFormat/>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AF3DE8-07C0-43DC-BF3E-E3F5B387468B}">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1721</Words>
  <Characters>1758</Characters>
  <Lines>14</Lines>
  <Paragraphs>4</Paragraphs>
  <TotalTime>1</TotalTime>
  <ScaleCrop>false</ScaleCrop>
  <LinksUpToDate>false</LinksUpToDate>
  <CharactersWithSpaces>1794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2024-12-18T02:19:00Z</dcterms:created>
  <dc:creator>王涛</dc:creator>
  <cp:lastModifiedBy>三月</cp:lastModifiedBy>
  <cp:lastPrinted>2019-12-17T07:39:00Z</cp:lastPrinted>
  <dcterms:modified xsi:type="dcterms:W3CDTF">2024-12-20T08:13:33Z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BCAA03C420324EB286CDB0E7D086BC09_12</vt:lpwstr>
  </property>
</Properties>
</file>