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A84AF">
      <w:pPr>
        <w:spacing w:line="330" w:lineRule="auto"/>
        <w:rPr>
          <w:rFonts w:ascii="Arial"/>
          <w:sz w:val="21"/>
        </w:rPr>
      </w:pPr>
    </w:p>
    <w:p w14:paraId="5F44A502">
      <w:pPr>
        <w:spacing w:line="330" w:lineRule="auto"/>
        <w:rPr>
          <w:rFonts w:ascii="Arial"/>
          <w:sz w:val="21"/>
        </w:rPr>
      </w:pPr>
    </w:p>
    <w:p w14:paraId="1E876B11">
      <w:pPr>
        <w:spacing w:before="193" w:line="459" w:lineRule="exact"/>
        <w:ind w:left="641"/>
        <w:outlineLvl w:val="0"/>
        <w:rPr>
          <w:rFonts w:ascii="微软雅黑" w:hAnsi="微软雅黑" w:eastAsia="微软雅黑" w:cs="微软雅黑"/>
          <w:sz w:val="45"/>
          <w:szCs w:val="45"/>
        </w:rPr>
      </w:pPr>
      <w:r>
        <w:rPr>
          <w:rFonts w:ascii="微软雅黑" w:hAnsi="微软雅黑" w:eastAsia="微软雅黑" w:cs="微软雅黑"/>
          <w:spacing w:val="-8"/>
          <w:w w:val="88"/>
          <w:position w:val="-1"/>
          <w:sz w:val="45"/>
          <w:szCs w:val="45"/>
        </w:rPr>
        <w:t>职业教育一流核心课程建设标准</w:t>
      </w:r>
      <w:r>
        <w:rPr>
          <w:rFonts w:ascii="微软雅黑" w:hAnsi="微软雅黑" w:eastAsia="微软雅黑" w:cs="微软雅黑"/>
          <w:spacing w:val="81"/>
          <w:position w:val="-1"/>
          <w:sz w:val="45"/>
          <w:szCs w:val="45"/>
        </w:rPr>
        <w:t xml:space="preserve"> </w:t>
      </w:r>
      <w:r>
        <w:rPr>
          <w:rFonts w:ascii="微软雅黑" w:hAnsi="微软雅黑" w:eastAsia="微软雅黑" w:cs="微软雅黑"/>
          <w:spacing w:val="-8"/>
          <w:w w:val="88"/>
          <w:position w:val="-1"/>
          <w:sz w:val="45"/>
          <w:szCs w:val="45"/>
        </w:rPr>
        <w:t>(线下)</w:t>
      </w:r>
    </w:p>
    <w:p w14:paraId="53BCF595">
      <w:pPr>
        <w:spacing w:line="393" w:lineRule="auto"/>
        <w:rPr>
          <w:rFonts w:ascii="Arial"/>
          <w:sz w:val="21"/>
        </w:rPr>
      </w:pPr>
    </w:p>
    <w:p w14:paraId="67C4A5E0">
      <w:pPr>
        <w:spacing w:before="91" w:line="212" w:lineRule="auto"/>
        <w:ind w:left="31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（一）评议性指标</w:t>
      </w:r>
    </w:p>
    <w:tbl>
      <w:tblPr>
        <w:tblStyle w:val="4"/>
        <w:tblW w:w="8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5"/>
        <w:gridCol w:w="6399"/>
      </w:tblGrid>
      <w:tr w14:paraId="44CFD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2105" w:type="dxa"/>
            <w:vAlign w:val="top"/>
          </w:tcPr>
          <w:p w14:paraId="18AF926F">
            <w:pPr>
              <w:spacing w:before="265" w:line="222" w:lineRule="auto"/>
              <w:ind w:left="57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评议指标</w:t>
            </w:r>
          </w:p>
        </w:tc>
        <w:tc>
          <w:tcPr>
            <w:tcW w:w="6399" w:type="dxa"/>
            <w:vAlign w:val="top"/>
          </w:tcPr>
          <w:p w14:paraId="6E96B522">
            <w:pPr>
              <w:spacing w:before="266" w:line="222" w:lineRule="auto"/>
              <w:ind w:left="24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观测点及要求</w:t>
            </w:r>
          </w:p>
        </w:tc>
      </w:tr>
      <w:tr w14:paraId="1C969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105" w:type="dxa"/>
            <w:vAlign w:val="top"/>
          </w:tcPr>
          <w:p w14:paraId="42A0773A">
            <w:pPr>
              <w:spacing w:line="376" w:lineRule="auto"/>
              <w:rPr>
                <w:rFonts w:ascii="Arial"/>
                <w:sz w:val="21"/>
              </w:rPr>
            </w:pPr>
          </w:p>
          <w:p w14:paraId="54ED4409">
            <w:pPr>
              <w:pStyle w:val="5"/>
              <w:spacing w:before="78" w:line="216" w:lineRule="auto"/>
              <w:ind w:left="218"/>
            </w:pPr>
            <w:r>
              <w:rPr>
                <w:spacing w:val="-2"/>
              </w:rPr>
              <w:t>课程定位与目标</w:t>
            </w:r>
          </w:p>
        </w:tc>
        <w:tc>
          <w:tcPr>
            <w:tcW w:w="6399" w:type="dxa"/>
            <w:vAlign w:val="top"/>
          </w:tcPr>
          <w:p w14:paraId="45585B4B">
            <w:pPr>
              <w:pStyle w:val="5"/>
              <w:spacing w:before="83" w:line="254" w:lineRule="auto"/>
              <w:ind w:left="108" w:right="103" w:firstLine="23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落实立德树人根本任务，符合相应专业教学标准、人才培</w:t>
            </w:r>
            <w:r>
              <w:t xml:space="preserve"> </w:t>
            </w:r>
            <w:r>
              <w:rPr>
                <w:spacing w:val="-3"/>
              </w:rPr>
              <w:t>养方案要求，课程性质明确，与前、后接续课程衔接得当。</w:t>
            </w:r>
            <w:r>
              <w:rPr>
                <w:spacing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课程目标定位准确、条目清晰、内容具体、可评可测。</w:t>
            </w:r>
          </w:p>
        </w:tc>
      </w:tr>
      <w:tr w14:paraId="14D5F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2105" w:type="dxa"/>
            <w:vAlign w:val="top"/>
          </w:tcPr>
          <w:p w14:paraId="3833A33F">
            <w:pPr>
              <w:spacing w:line="304" w:lineRule="auto"/>
              <w:rPr>
                <w:rFonts w:ascii="Arial"/>
                <w:sz w:val="21"/>
              </w:rPr>
            </w:pPr>
          </w:p>
          <w:p w14:paraId="24C558FB">
            <w:pPr>
              <w:spacing w:line="304" w:lineRule="auto"/>
              <w:rPr>
                <w:rFonts w:ascii="Arial"/>
                <w:sz w:val="21"/>
              </w:rPr>
            </w:pPr>
          </w:p>
          <w:p w14:paraId="6EC1B8FA">
            <w:pPr>
              <w:spacing w:line="305" w:lineRule="auto"/>
              <w:rPr>
                <w:rFonts w:ascii="Arial"/>
                <w:sz w:val="21"/>
              </w:rPr>
            </w:pPr>
          </w:p>
          <w:p w14:paraId="7249493E">
            <w:pPr>
              <w:pStyle w:val="5"/>
              <w:spacing w:before="78" w:line="216" w:lineRule="auto"/>
              <w:ind w:left="218"/>
            </w:pPr>
            <w:r>
              <w:rPr>
                <w:spacing w:val="-2"/>
              </w:rPr>
              <w:t>课程结构与内容</w:t>
            </w:r>
          </w:p>
        </w:tc>
        <w:tc>
          <w:tcPr>
            <w:tcW w:w="6399" w:type="dxa"/>
            <w:vAlign w:val="top"/>
          </w:tcPr>
          <w:p w14:paraId="5B4E2207">
            <w:pPr>
              <w:pStyle w:val="5"/>
              <w:spacing w:before="83" w:line="270" w:lineRule="auto"/>
              <w:ind w:left="116" w:right="36" w:firstLine="15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课程内容组织与安排凸显职业教育类型特征，对接新产业、</w:t>
            </w:r>
            <w:r>
              <w:t xml:space="preserve"> 新业态、新模式、新职业，反映相关领域新方法、新技术、 </w:t>
            </w:r>
            <w:r>
              <w:rPr>
                <w:spacing w:val="-9"/>
              </w:rPr>
              <w:t>新工艺、新标准，</w:t>
            </w:r>
            <w:r>
              <w:rPr>
                <w:spacing w:val="43"/>
              </w:rPr>
              <w:t xml:space="preserve"> </w:t>
            </w:r>
            <w:r>
              <w:rPr>
                <w:spacing w:val="-9"/>
              </w:rPr>
              <w:t>体现行业企业参与特征，紧贴本专业相关</w:t>
            </w:r>
            <w:r>
              <w:t xml:space="preserve"> </w:t>
            </w:r>
            <w:r>
              <w:rPr>
                <w:spacing w:val="-4"/>
              </w:rPr>
              <w:t>技术领域职业岗位（群）的能力要求。</w:t>
            </w:r>
          </w:p>
          <w:p w14:paraId="6F85861C">
            <w:pPr>
              <w:pStyle w:val="5"/>
              <w:spacing w:before="37" w:line="242" w:lineRule="auto"/>
              <w:ind w:left="112" w:right="36" w:hanging="4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>课程内容完整、结构合理、逻辑清晰， 学习单元划分</w:t>
            </w:r>
            <w:r>
              <w:rPr>
                <w:spacing w:val="-11"/>
              </w:rPr>
              <w:t>合理、</w:t>
            </w:r>
            <w:r>
              <w:t xml:space="preserve"> </w:t>
            </w:r>
            <w:r>
              <w:rPr>
                <w:spacing w:val="-3"/>
              </w:rPr>
              <w:t>衔接有序、教学学时分配合理。申报课程不低于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32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学时。</w:t>
            </w:r>
          </w:p>
        </w:tc>
      </w:tr>
      <w:tr w14:paraId="752DA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2105" w:type="dxa"/>
            <w:vAlign w:val="top"/>
          </w:tcPr>
          <w:p w14:paraId="5D0B351E">
            <w:pPr>
              <w:spacing w:line="273" w:lineRule="auto"/>
              <w:rPr>
                <w:rFonts w:ascii="Arial"/>
                <w:sz w:val="21"/>
              </w:rPr>
            </w:pPr>
          </w:p>
          <w:p w14:paraId="037EDDD2">
            <w:pPr>
              <w:spacing w:line="274" w:lineRule="auto"/>
              <w:rPr>
                <w:rFonts w:ascii="Arial"/>
                <w:sz w:val="21"/>
              </w:rPr>
            </w:pPr>
          </w:p>
          <w:p w14:paraId="685F4F8D">
            <w:pPr>
              <w:spacing w:line="274" w:lineRule="auto"/>
              <w:rPr>
                <w:rFonts w:ascii="Arial"/>
                <w:sz w:val="21"/>
              </w:rPr>
            </w:pPr>
          </w:p>
          <w:p w14:paraId="177CECD7">
            <w:pPr>
              <w:spacing w:line="274" w:lineRule="auto"/>
              <w:rPr>
                <w:rFonts w:ascii="Arial"/>
                <w:sz w:val="21"/>
              </w:rPr>
            </w:pPr>
          </w:p>
          <w:p w14:paraId="0A4910C6">
            <w:pPr>
              <w:pStyle w:val="5"/>
              <w:spacing w:before="78" w:line="217" w:lineRule="auto"/>
              <w:ind w:left="217"/>
            </w:pPr>
            <w:r>
              <w:rPr>
                <w:spacing w:val="-1"/>
              </w:rPr>
              <w:t>标准完整与规范</w:t>
            </w:r>
          </w:p>
        </w:tc>
        <w:tc>
          <w:tcPr>
            <w:tcW w:w="6399" w:type="dxa"/>
            <w:vAlign w:val="top"/>
          </w:tcPr>
          <w:p w14:paraId="2E1905C7">
            <w:pPr>
              <w:pStyle w:val="5"/>
              <w:spacing w:before="84" w:line="264" w:lineRule="auto"/>
              <w:ind w:left="115" w:right="107" w:firstLine="1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课程标准涵盖的内容完整，课程基本信息准确，对人才培</w:t>
            </w:r>
            <w:r>
              <w:t xml:space="preserve"> </w:t>
            </w:r>
            <w:r>
              <w:rPr>
                <w:spacing w:val="-5"/>
              </w:rPr>
              <w:t>养具有较强的指导作用。</w:t>
            </w:r>
          </w:p>
          <w:p w14:paraId="6AC0A7BF">
            <w:pPr>
              <w:pStyle w:val="5"/>
              <w:spacing w:before="36" w:line="263" w:lineRule="auto"/>
              <w:ind w:left="125" w:right="107" w:hanging="17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课程标准格式规范，体系科学合理，能有效指导</w:t>
            </w:r>
            <w:r>
              <w:rPr>
                <w:spacing w:val="-1"/>
              </w:rPr>
              <w:t>课程建设</w:t>
            </w:r>
            <w:r>
              <w:t xml:space="preserve"> </w:t>
            </w:r>
            <w:r>
              <w:rPr>
                <w:spacing w:val="-10"/>
              </w:rPr>
              <w:t>与实际授课。</w:t>
            </w:r>
          </w:p>
          <w:p w14:paraId="28855ABA">
            <w:pPr>
              <w:pStyle w:val="5"/>
              <w:spacing w:before="34" w:line="264" w:lineRule="auto"/>
              <w:ind w:left="113" w:right="10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标准体现的课程资源类型丰富、内容多样，能够满足学校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教学和学习者学习需求，做到能学辅教。</w:t>
            </w:r>
          </w:p>
          <w:p w14:paraId="110FE3B3">
            <w:pPr>
              <w:pStyle w:val="5"/>
              <w:spacing w:before="36" w:line="205" w:lineRule="auto"/>
              <w:ind w:left="107"/>
            </w:pPr>
            <w:r>
              <w:rPr>
                <w:rFonts w:ascii="Times New Roman" w:hAnsi="Times New Roman" w:eastAsia="Times New Roman" w:cs="Times New Roman"/>
                <w:spacing w:val="-3"/>
              </w:rPr>
              <w:t>4.</w:t>
            </w:r>
            <w:r>
              <w:rPr>
                <w:spacing w:val="-3"/>
              </w:rPr>
              <w:t>教材选用合理，符合有关规定和教学需求。</w:t>
            </w:r>
          </w:p>
        </w:tc>
      </w:tr>
      <w:tr w14:paraId="76250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105" w:type="dxa"/>
            <w:vAlign w:val="top"/>
          </w:tcPr>
          <w:p w14:paraId="1C4B9442">
            <w:pPr>
              <w:spacing w:line="290" w:lineRule="auto"/>
              <w:rPr>
                <w:rFonts w:ascii="Arial"/>
                <w:sz w:val="21"/>
              </w:rPr>
            </w:pPr>
          </w:p>
          <w:p w14:paraId="7D6B775B">
            <w:pPr>
              <w:spacing w:line="290" w:lineRule="auto"/>
              <w:rPr>
                <w:rFonts w:ascii="Arial"/>
                <w:sz w:val="21"/>
              </w:rPr>
            </w:pPr>
          </w:p>
          <w:p w14:paraId="6AC02A22">
            <w:pPr>
              <w:spacing w:line="291" w:lineRule="auto"/>
              <w:rPr>
                <w:rFonts w:ascii="Arial"/>
                <w:sz w:val="21"/>
              </w:rPr>
            </w:pPr>
          </w:p>
          <w:p w14:paraId="7B874563">
            <w:pPr>
              <w:pStyle w:val="5"/>
              <w:spacing w:before="78" w:line="217" w:lineRule="auto"/>
              <w:ind w:left="224"/>
            </w:pPr>
            <w:r>
              <w:rPr>
                <w:spacing w:val="-2"/>
              </w:rPr>
              <w:t>成员构成与要求</w:t>
            </w:r>
          </w:p>
        </w:tc>
        <w:tc>
          <w:tcPr>
            <w:tcW w:w="6399" w:type="dxa"/>
            <w:vAlign w:val="top"/>
          </w:tcPr>
          <w:p w14:paraId="0A720330">
            <w:pPr>
              <w:pStyle w:val="5"/>
              <w:spacing w:before="221" w:line="263" w:lineRule="auto"/>
              <w:ind w:left="128" w:right="107" w:firstLine="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教学团队结构合理，师德师风优良，教学表现力和亲和力</w:t>
            </w:r>
            <w:r>
              <w:t xml:space="preserve"> </w:t>
            </w:r>
            <w:r>
              <w:rPr>
                <w:spacing w:val="-4"/>
              </w:rPr>
              <w:t>强，教学成果积累丰富，教学改革意识强。</w:t>
            </w:r>
          </w:p>
          <w:p w14:paraId="09DD9AF0">
            <w:pPr>
              <w:pStyle w:val="5"/>
              <w:spacing w:before="38" w:line="267" w:lineRule="auto"/>
              <w:ind w:left="113" w:right="107" w:hanging="5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课程负责人应具有</w:t>
            </w:r>
            <w:r>
              <w:rPr>
                <w:spacing w:val="-1"/>
                <w:highlight w:val="yellow"/>
              </w:rPr>
              <w:t>高级专业技术职务</w:t>
            </w:r>
            <w:r>
              <w:rPr>
                <w:spacing w:val="-1"/>
              </w:rPr>
              <w:t>，具有丰富的教学经</w:t>
            </w:r>
            <w:r>
              <w:t xml:space="preserve"> </w:t>
            </w:r>
            <w:r>
              <w:rPr>
                <w:spacing w:val="-3"/>
              </w:rPr>
              <w:t>验和扎实专业功底，在本专业领域具有一定影响力。同一课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程负责人牵头的课程限推荐一门。</w:t>
            </w:r>
          </w:p>
        </w:tc>
      </w:tr>
      <w:tr w14:paraId="6BF96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2105" w:type="dxa"/>
            <w:vAlign w:val="top"/>
          </w:tcPr>
          <w:p w14:paraId="3DAC5C73">
            <w:pPr>
              <w:spacing w:line="273" w:lineRule="auto"/>
              <w:rPr>
                <w:rFonts w:ascii="Arial"/>
                <w:sz w:val="21"/>
              </w:rPr>
            </w:pPr>
          </w:p>
          <w:p w14:paraId="7863DF6A">
            <w:pPr>
              <w:spacing w:line="274" w:lineRule="auto"/>
              <w:rPr>
                <w:rFonts w:ascii="Arial"/>
                <w:sz w:val="21"/>
              </w:rPr>
            </w:pPr>
          </w:p>
          <w:p w14:paraId="2675B4B3">
            <w:pPr>
              <w:spacing w:line="274" w:lineRule="auto"/>
              <w:rPr>
                <w:rFonts w:ascii="Arial"/>
                <w:sz w:val="21"/>
              </w:rPr>
            </w:pPr>
          </w:p>
          <w:p w14:paraId="7DFB0443">
            <w:pPr>
              <w:spacing w:line="274" w:lineRule="auto"/>
              <w:rPr>
                <w:rFonts w:ascii="Arial"/>
                <w:sz w:val="21"/>
              </w:rPr>
            </w:pPr>
          </w:p>
          <w:p w14:paraId="5275C3CC">
            <w:pPr>
              <w:pStyle w:val="5"/>
              <w:spacing w:before="78" w:line="218" w:lineRule="auto"/>
              <w:ind w:left="218"/>
            </w:pPr>
            <w:r>
              <w:rPr>
                <w:spacing w:val="-2"/>
              </w:rPr>
              <w:t>教学活动与过程</w:t>
            </w:r>
          </w:p>
        </w:tc>
        <w:tc>
          <w:tcPr>
            <w:tcW w:w="6399" w:type="dxa"/>
            <w:vAlign w:val="top"/>
          </w:tcPr>
          <w:p w14:paraId="3FCAFEC7">
            <w:pPr>
              <w:pStyle w:val="5"/>
              <w:spacing w:before="87" w:line="262" w:lineRule="auto"/>
              <w:ind w:left="112" w:right="107" w:firstLine="1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各项教学活动完整、有效，教学过程可回溯，关注教与学</w:t>
            </w:r>
            <w:r>
              <w:t xml:space="preserve"> </w:t>
            </w:r>
            <w:r>
              <w:rPr>
                <w:spacing w:val="-3"/>
              </w:rPr>
              <w:t>全过程的信息采集，教学过程材料完整。</w:t>
            </w:r>
          </w:p>
          <w:p w14:paraId="507C4471">
            <w:pPr>
              <w:pStyle w:val="5"/>
              <w:spacing w:before="37" w:line="264" w:lineRule="auto"/>
              <w:ind w:left="121" w:right="152" w:hanging="1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合理使用信息技术手段创新教学模式，能够激发学生学习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兴趣和潜能。</w:t>
            </w:r>
          </w:p>
          <w:p w14:paraId="634A12DB">
            <w:pPr>
              <w:pStyle w:val="5"/>
              <w:spacing w:before="34" w:line="253" w:lineRule="auto"/>
              <w:ind w:left="119" w:right="107" w:hanging="6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提供充足的学习支持服务，促进师生之间、学生之间进行</w:t>
            </w:r>
            <w:r>
              <w:rPr>
                <w:spacing w:val="18"/>
              </w:rPr>
              <w:t xml:space="preserve"> </w:t>
            </w:r>
            <w:r>
              <w:rPr>
                <w:spacing w:val="-10"/>
              </w:rPr>
              <w:t>资源共享、问题交流和协作学习，</w:t>
            </w:r>
            <w:r>
              <w:rPr>
                <w:spacing w:val="65"/>
              </w:rPr>
              <w:t xml:space="preserve"> </w:t>
            </w:r>
            <w:r>
              <w:rPr>
                <w:spacing w:val="-10"/>
              </w:rPr>
              <w:t>实现师生、生生的深度有</w:t>
            </w:r>
            <w:r>
              <w:t xml:space="preserve"> </w:t>
            </w:r>
            <w:r>
              <w:rPr>
                <w:spacing w:val="-13"/>
              </w:rPr>
              <w:t>效互动。</w:t>
            </w:r>
          </w:p>
        </w:tc>
      </w:tr>
      <w:tr w14:paraId="7A8DF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105" w:type="dxa"/>
            <w:vAlign w:val="top"/>
          </w:tcPr>
          <w:p w14:paraId="77E76E1D">
            <w:pPr>
              <w:pStyle w:val="5"/>
              <w:spacing w:before="201" w:line="217" w:lineRule="auto"/>
              <w:ind w:left="233"/>
            </w:pPr>
            <w:r>
              <w:rPr>
                <w:rFonts w:hint="eastAsia"/>
                <w:spacing w:val="-3"/>
                <w:lang w:val="en-US" w:eastAsia="zh-CN"/>
              </w:rPr>
              <w:t>学习</w:t>
            </w:r>
            <w:r>
              <w:rPr>
                <w:spacing w:val="-3"/>
              </w:rPr>
              <w:t>考核与评价</w:t>
            </w:r>
          </w:p>
        </w:tc>
        <w:tc>
          <w:tcPr>
            <w:tcW w:w="6399" w:type="dxa"/>
            <w:vAlign w:val="top"/>
          </w:tcPr>
          <w:p w14:paraId="745F9781">
            <w:pPr>
              <w:pStyle w:val="5"/>
              <w:spacing w:before="88" w:line="216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建立多元化学习评价体系，不断改进结果评价，强化过程</w:t>
            </w:r>
          </w:p>
        </w:tc>
      </w:tr>
    </w:tbl>
    <w:p w14:paraId="2A1F0DAC">
      <w:pPr>
        <w:rPr>
          <w:rFonts w:ascii="Arial"/>
          <w:sz w:val="21"/>
        </w:rPr>
      </w:pPr>
    </w:p>
    <w:p w14:paraId="4038335C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698" w:bottom="1060" w:left="1698" w:header="0" w:footer="826" w:gutter="0"/>
          <w:cols w:space="720" w:num="1"/>
        </w:sectPr>
      </w:pPr>
    </w:p>
    <w:p w14:paraId="5FB117A5">
      <w:pPr>
        <w:spacing w:line="91" w:lineRule="auto"/>
        <w:rPr>
          <w:rFonts w:ascii="Arial"/>
          <w:sz w:val="2"/>
        </w:rPr>
      </w:pPr>
    </w:p>
    <w:tbl>
      <w:tblPr>
        <w:tblStyle w:val="4"/>
        <w:tblW w:w="8504" w:type="dxa"/>
        <w:tblInd w:w="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5"/>
        <w:gridCol w:w="6399"/>
      </w:tblGrid>
      <w:tr w14:paraId="6C386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 w:hRule="atLeast"/>
        </w:trPr>
        <w:tc>
          <w:tcPr>
            <w:tcW w:w="2105" w:type="dxa"/>
            <w:vAlign w:val="top"/>
          </w:tcPr>
          <w:p w14:paraId="59375EF2">
            <w:pPr>
              <w:rPr>
                <w:rFonts w:ascii="Arial"/>
                <w:sz w:val="21"/>
              </w:rPr>
            </w:pPr>
          </w:p>
        </w:tc>
        <w:tc>
          <w:tcPr>
            <w:tcW w:w="6399" w:type="dxa"/>
            <w:vAlign w:val="top"/>
          </w:tcPr>
          <w:p w14:paraId="3B0CF1A6">
            <w:pPr>
              <w:pStyle w:val="5"/>
              <w:spacing w:before="88" w:line="217" w:lineRule="auto"/>
              <w:ind w:left="113"/>
            </w:pPr>
            <w:r>
              <w:rPr>
                <w:spacing w:val="-4"/>
              </w:rPr>
              <w:t>评价，探索增值评价，健全综合评价。</w:t>
            </w:r>
          </w:p>
          <w:p w14:paraId="0444402F">
            <w:pPr>
              <w:pStyle w:val="5"/>
              <w:spacing w:before="78" w:line="263" w:lineRule="auto"/>
              <w:ind w:left="112" w:right="107" w:hanging="4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探索基于大数据的信息采集分析，全程记录和跟</w:t>
            </w:r>
            <w:r>
              <w:rPr>
                <w:spacing w:val="-1"/>
              </w:rPr>
              <w:t>踪教师的</w:t>
            </w:r>
            <w:r>
              <w:t xml:space="preserve"> </w:t>
            </w:r>
            <w:r>
              <w:rPr>
                <w:spacing w:val="-3"/>
              </w:rPr>
              <w:t>教学和学生学习过程，形成教与学的正向反馈。</w:t>
            </w:r>
          </w:p>
          <w:p w14:paraId="69B43B61">
            <w:pPr>
              <w:pStyle w:val="5"/>
              <w:spacing w:before="34" w:line="242" w:lineRule="auto"/>
              <w:ind w:left="113" w:right="107"/>
              <w:rPr>
                <w:spacing w:val="-3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课程建设过程中，不断完善课程考核评价机制，有效反思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课程建设的经验与不足，教学诊断改进积极有效。</w:t>
            </w:r>
          </w:p>
          <w:p w14:paraId="34D18BC0">
            <w:pPr>
              <w:pStyle w:val="5"/>
              <w:spacing w:before="34" w:line="242" w:lineRule="auto"/>
              <w:ind w:left="113" w:right="107"/>
              <w:rPr>
                <w:rFonts w:hint="default" w:eastAsia="仿宋"/>
                <w:spacing w:val="-3"/>
                <w:lang w:val="en-US" w:eastAsia="zh-CN"/>
              </w:rPr>
            </w:pPr>
          </w:p>
        </w:tc>
      </w:tr>
      <w:tr w14:paraId="3FB63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2105" w:type="dxa"/>
            <w:vAlign w:val="top"/>
          </w:tcPr>
          <w:p w14:paraId="1977E75F">
            <w:pPr>
              <w:spacing w:line="278" w:lineRule="auto"/>
              <w:rPr>
                <w:rFonts w:ascii="Arial"/>
                <w:sz w:val="21"/>
              </w:rPr>
            </w:pPr>
          </w:p>
          <w:p w14:paraId="6037476E">
            <w:pPr>
              <w:spacing w:line="279" w:lineRule="auto"/>
              <w:rPr>
                <w:rFonts w:ascii="Arial"/>
                <w:sz w:val="21"/>
              </w:rPr>
            </w:pPr>
          </w:p>
          <w:p w14:paraId="1A9D815E">
            <w:pPr>
              <w:pStyle w:val="5"/>
              <w:spacing w:before="78" w:line="216" w:lineRule="auto"/>
              <w:ind w:left="218"/>
            </w:pPr>
            <w:r>
              <w:rPr>
                <w:spacing w:val="-2"/>
              </w:rPr>
              <w:t>课程示范与引领</w:t>
            </w:r>
          </w:p>
        </w:tc>
        <w:tc>
          <w:tcPr>
            <w:tcW w:w="6399" w:type="dxa"/>
            <w:vAlign w:val="top"/>
          </w:tcPr>
          <w:p w14:paraId="182F01A3">
            <w:pPr>
              <w:pStyle w:val="5"/>
              <w:spacing w:before="82" w:line="265" w:lineRule="auto"/>
              <w:ind w:left="120" w:right="167" w:firstLine="11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在教学和课程改革方面与同类课程相比显示</w:t>
            </w:r>
            <w:r>
              <w:rPr>
                <w:spacing w:val="-4"/>
              </w:rPr>
              <w:t>了明显优势，</w:t>
            </w:r>
            <w:r>
              <w:t xml:space="preserve"> </w:t>
            </w:r>
            <w:r>
              <w:rPr>
                <w:spacing w:val="-9"/>
              </w:rPr>
              <w:t>具有推广价值。</w:t>
            </w:r>
          </w:p>
          <w:p w14:paraId="5C4806B4">
            <w:pPr>
              <w:pStyle w:val="5"/>
              <w:spacing w:before="34" w:line="216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具备供其他院校教师教学使用的条件。</w:t>
            </w:r>
          </w:p>
          <w:p w14:paraId="7B9820E9">
            <w:pPr>
              <w:pStyle w:val="5"/>
              <w:spacing w:before="76" w:line="210" w:lineRule="auto"/>
              <w:ind w:left="113"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学生对教师教学以及课程的满意度较高。</w:t>
            </w:r>
          </w:p>
        </w:tc>
      </w:tr>
      <w:tr w14:paraId="72DA45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2105" w:type="dxa"/>
            <w:vAlign w:val="center"/>
          </w:tcPr>
          <w:p w14:paraId="4E89FCAE">
            <w:pPr>
              <w:pStyle w:val="5"/>
              <w:spacing w:before="78" w:line="216" w:lineRule="auto"/>
              <w:ind w:left="218"/>
              <w:jc w:val="center"/>
              <w:rPr>
                <w:rFonts w:hint="default" w:eastAsia="仿宋"/>
                <w:spacing w:val="-2"/>
                <w:highlight w:val="yellow"/>
                <w:lang w:val="en-US" w:eastAsia="zh-CN"/>
              </w:rPr>
            </w:pPr>
            <w:r>
              <w:rPr>
                <w:rFonts w:hint="eastAsia"/>
                <w:spacing w:val="-2"/>
                <w:highlight w:val="yellow"/>
                <w:lang w:val="en-US" w:eastAsia="zh-CN"/>
              </w:rPr>
              <w:t>教学效果评价</w:t>
            </w:r>
          </w:p>
        </w:tc>
        <w:tc>
          <w:tcPr>
            <w:tcW w:w="6399" w:type="dxa"/>
            <w:vAlign w:val="center"/>
          </w:tcPr>
          <w:p w14:paraId="07F253D0">
            <w:pPr>
              <w:pStyle w:val="5"/>
              <w:spacing w:before="76" w:line="210" w:lineRule="auto"/>
              <w:ind w:left="113"/>
              <w:jc w:val="left"/>
              <w:rPr>
                <w:rFonts w:hint="default" w:ascii="Times New Roman" w:hAnsi="Times New Roman" w:eastAsia="宋体" w:cs="Times New Roman"/>
                <w:spacing w:val="-4"/>
                <w:highlight w:val="yellow"/>
                <w:lang w:val="en-US" w:eastAsia="zh-CN"/>
              </w:rPr>
            </w:pPr>
            <w:r>
              <w:rPr>
                <w:rFonts w:hint="eastAsia"/>
                <w:spacing w:val="-3"/>
                <w:highlight w:val="yellow"/>
                <w:lang w:val="en-US" w:eastAsia="zh-CN"/>
              </w:rPr>
              <w:t>校级督导组对该课程组织1次推门听课，填写督导听课记录表，当堂课结束后现场组织学生开展即时性评价，督导评价与学生评价情况各按50%权重计算得分。</w:t>
            </w:r>
          </w:p>
        </w:tc>
      </w:tr>
    </w:tbl>
    <w:p w14:paraId="3CCD3F5B">
      <w:pPr>
        <w:spacing w:line="264" w:lineRule="auto"/>
        <w:rPr>
          <w:rFonts w:ascii="Arial"/>
          <w:sz w:val="21"/>
        </w:rPr>
      </w:pPr>
    </w:p>
    <w:p w14:paraId="4817CF5F">
      <w:pPr>
        <w:spacing w:line="264" w:lineRule="auto"/>
        <w:rPr>
          <w:rFonts w:ascii="Arial"/>
          <w:sz w:val="21"/>
        </w:rPr>
      </w:pPr>
    </w:p>
    <w:p w14:paraId="1C7B3645">
      <w:pPr>
        <w:spacing w:before="91" w:line="224" w:lineRule="auto"/>
        <w:ind w:left="316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（二）否</w:t>
      </w:r>
      <w:bookmarkStart w:id="0" w:name="_GoBack"/>
      <w:bookmarkEnd w:id="0"/>
      <w:r>
        <w:rPr>
          <w:rFonts w:ascii="黑体" w:hAnsi="黑体" w:eastAsia="黑体" w:cs="黑体"/>
          <w:spacing w:val="-4"/>
          <w:sz w:val="28"/>
          <w:szCs w:val="28"/>
        </w:rPr>
        <w:t>定性指标</w:t>
      </w:r>
    </w:p>
    <w:p w14:paraId="77271A18">
      <w:pPr>
        <w:spacing w:line="18" w:lineRule="exact"/>
      </w:pPr>
    </w:p>
    <w:tbl>
      <w:tblPr>
        <w:tblStyle w:val="4"/>
        <w:tblW w:w="84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3"/>
        <w:gridCol w:w="2833"/>
        <w:gridCol w:w="4297"/>
      </w:tblGrid>
      <w:tr w14:paraId="42781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313" w:type="dxa"/>
            <w:vAlign w:val="top"/>
          </w:tcPr>
          <w:p w14:paraId="447EA004">
            <w:pPr>
              <w:spacing w:before="248" w:line="222" w:lineRule="auto"/>
              <w:ind w:left="4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维度</w:t>
            </w:r>
          </w:p>
        </w:tc>
        <w:tc>
          <w:tcPr>
            <w:tcW w:w="2833" w:type="dxa"/>
            <w:vAlign w:val="top"/>
          </w:tcPr>
          <w:p w14:paraId="7DA1666E">
            <w:pPr>
              <w:spacing w:before="248" w:line="223" w:lineRule="auto"/>
              <w:ind w:left="94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具体指标</w:t>
            </w:r>
          </w:p>
        </w:tc>
        <w:tc>
          <w:tcPr>
            <w:tcW w:w="4297" w:type="dxa"/>
            <w:vAlign w:val="top"/>
          </w:tcPr>
          <w:p w14:paraId="7F3945DD">
            <w:pPr>
              <w:spacing w:before="248" w:line="221" w:lineRule="auto"/>
              <w:ind w:left="14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观测点及方式</w:t>
            </w:r>
          </w:p>
        </w:tc>
      </w:tr>
      <w:tr w14:paraId="02E3B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313" w:type="dxa"/>
            <w:vMerge w:val="restart"/>
            <w:tcBorders>
              <w:bottom w:val="nil"/>
            </w:tcBorders>
            <w:vAlign w:val="top"/>
          </w:tcPr>
          <w:p w14:paraId="6132D232">
            <w:pPr>
              <w:spacing w:line="250" w:lineRule="auto"/>
              <w:rPr>
                <w:rFonts w:ascii="Arial"/>
                <w:sz w:val="21"/>
              </w:rPr>
            </w:pPr>
          </w:p>
          <w:p w14:paraId="1F59D08F">
            <w:pPr>
              <w:spacing w:line="251" w:lineRule="auto"/>
              <w:rPr>
                <w:rFonts w:ascii="Arial"/>
                <w:sz w:val="21"/>
              </w:rPr>
            </w:pPr>
          </w:p>
          <w:p w14:paraId="77E6F8CF">
            <w:pPr>
              <w:spacing w:line="251" w:lineRule="auto"/>
              <w:rPr>
                <w:rFonts w:ascii="Arial"/>
                <w:sz w:val="21"/>
              </w:rPr>
            </w:pPr>
          </w:p>
          <w:p w14:paraId="61E3F748">
            <w:pPr>
              <w:spacing w:line="251" w:lineRule="auto"/>
              <w:rPr>
                <w:rFonts w:ascii="Arial"/>
                <w:sz w:val="21"/>
              </w:rPr>
            </w:pPr>
          </w:p>
          <w:p w14:paraId="125792DF">
            <w:pPr>
              <w:spacing w:line="251" w:lineRule="auto"/>
              <w:rPr>
                <w:rFonts w:ascii="Arial"/>
                <w:sz w:val="21"/>
              </w:rPr>
            </w:pPr>
          </w:p>
          <w:p w14:paraId="54C8DF9F">
            <w:pPr>
              <w:spacing w:line="251" w:lineRule="auto"/>
              <w:rPr>
                <w:rFonts w:ascii="Arial"/>
                <w:sz w:val="21"/>
              </w:rPr>
            </w:pPr>
          </w:p>
          <w:p w14:paraId="702FF26C">
            <w:pPr>
              <w:spacing w:line="251" w:lineRule="auto"/>
              <w:rPr>
                <w:rFonts w:ascii="Arial"/>
                <w:sz w:val="21"/>
              </w:rPr>
            </w:pPr>
          </w:p>
          <w:p w14:paraId="21699187">
            <w:pPr>
              <w:spacing w:line="251" w:lineRule="auto"/>
              <w:rPr>
                <w:rFonts w:ascii="Arial"/>
                <w:sz w:val="21"/>
              </w:rPr>
            </w:pPr>
          </w:p>
          <w:p w14:paraId="1AA57195">
            <w:pPr>
              <w:pStyle w:val="5"/>
              <w:spacing w:before="78" w:line="216" w:lineRule="auto"/>
              <w:ind w:left="181"/>
            </w:pPr>
            <w:r>
              <w:rPr>
                <w:spacing w:val="-2"/>
              </w:rPr>
              <w:t>课程资格</w:t>
            </w:r>
          </w:p>
        </w:tc>
        <w:tc>
          <w:tcPr>
            <w:tcW w:w="2833" w:type="dxa"/>
            <w:vAlign w:val="top"/>
          </w:tcPr>
          <w:p w14:paraId="7CEE3A5A">
            <w:pPr>
              <w:pStyle w:val="5"/>
              <w:spacing w:before="84" w:line="242" w:lineRule="auto"/>
              <w:ind w:left="122" w:right="106" w:hanging="10"/>
            </w:pPr>
            <w:r>
              <w:rPr>
                <w:spacing w:val="20"/>
              </w:rPr>
              <w:t>课程性质与推荐申报要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求不符</w:t>
            </w:r>
          </w:p>
        </w:tc>
        <w:tc>
          <w:tcPr>
            <w:tcW w:w="4297" w:type="dxa"/>
            <w:vAlign w:val="top"/>
          </w:tcPr>
          <w:p w14:paraId="2D6A9050">
            <w:pPr>
              <w:pStyle w:val="5"/>
              <w:spacing w:before="82" w:line="243" w:lineRule="auto"/>
              <w:ind w:left="122" w:right="107" w:hanging="7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查看专业人才培养方案，确定是否属于</w:t>
            </w:r>
            <w:r>
              <w:rPr>
                <w:spacing w:val="4"/>
                <w:highlight w:val="none"/>
              </w:rPr>
              <w:t xml:space="preserve"> </w:t>
            </w:r>
            <w:r>
              <w:rPr>
                <w:spacing w:val="-3"/>
                <w:highlight w:val="none"/>
              </w:rPr>
              <w:t>专业核心课程</w:t>
            </w:r>
          </w:p>
        </w:tc>
      </w:tr>
      <w:tr w14:paraId="5F456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top"/>
          </w:tcPr>
          <w:p w14:paraId="58213969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Align w:val="top"/>
          </w:tcPr>
          <w:p w14:paraId="2FE8695E">
            <w:pPr>
              <w:pStyle w:val="5"/>
              <w:spacing w:before="87" w:line="241" w:lineRule="auto"/>
              <w:ind w:left="147" w:right="106" w:hanging="28"/>
            </w:pPr>
            <w:r>
              <w:rPr>
                <w:spacing w:val="20"/>
              </w:rPr>
              <w:t>开设时间或期数不符合</w:t>
            </w:r>
            <w:r>
              <w:t xml:space="preserve"> </w:t>
            </w:r>
            <w:r>
              <w:rPr>
                <w:spacing w:val="-9"/>
              </w:rPr>
              <w:t>申报要求</w:t>
            </w:r>
          </w:p>
        </w:tc>
        <w:tc>
          <w:tcPr>
            <w:tcW w:w="4297" w:type="dxa"/>
            <w:vAlign w:val="top"/>
          </w:tcPr>
          <w:p w14:paraId="089FA0E6">
            <w:pPr>
              <w:pStyle w:val="5"/>
              <w:spacing w:before="87" w:line="241" w:lineRule="auto"/>
              <w:ind w:left="121" w:right="107" w:hanging="6"/>
            </w:pPr>
            <w:r>
              <w:rPr>
                <w:spacing w:val="-1"/>
              </w:rPr>
              <w:t>查看教务系统截图，核实申报截止日期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前是否完成至少两（学）期教学实践</w:t>
            </w:r>
          </w:p>
        </w:tc>
      </w:tr>
      <w:tr w14:paraId="1AD4F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top"/>
          </w:tcPr>
          <w:p w14:paraId="41F651C4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Align w:val="top"/>
          </w:tcPr>
          <w:p w14:paraId="0F86C333">
            <w:pPr>
              <w:spacing w:line="366" w:lineRule="auto"/>
              <w:rPr>
                <w:rFonts w:ascii="Arial"/>
                <w:sz w:val="21"/>
              </w:rPr>
            </w:pPr>
          </w:p>
          <w:p w14:paraId="7B13B93A">
            <w:pPr>
              <w:pStyle w:val="5"/>
              <w:spacing w:before="78" w:line="218" w:lineRule="auto"/>
              <w:ind w:left="112"/>
            </w:pPr>
            <w:r>
              <w:rPr>
                <w:spacing w:val="-2"/>
              </w:rPr>
              <w:t>教材选用不合规</w:t>
            </w:r>
          </w:p>
        </w:tc>
        <w:tc>
          <w:tcPr>
            <w:tcW w:w="4297" w:type="dxa"/>
            <w:vAlign w:val="top"/>
          </w:tcPr>
          <w:p w14:paraId="5FAD333C">
            <w:pPr>
              <w:pStyle w:val="5"/>
              <w:spacing w:before="87" w:line="253" w:lineRule="auto"/>
              <w:ind w:left="112" w:right="107" w:firstLine="3"/>
              <w:jc w:val="both"/>
            </w:pPr>
            <w:r>
              <w:rPr>
                <w:spacing w:val="-1"/>
              </w:rPr>
              <w:t>查看课程标准相关内容，核实选用教材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是否符合《职业院校教材管理办法》等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有关要求</w:t>
            </w:r>
          </w:p>
        </w:tc>
      </w:tr>
      <w:tr w14:paraId="62F9B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top"/>
          </w:tcPr>
          <w:p w14:paraId="5297EBE0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Align w:val="top"/>
          </w:tcPr>
          <w:p w14:paraId="2F9F1546">
            <w:pPr>
              <w:pStyle w:val="5"/>
              <w:spacing w:before="88" w:line="241" w:lineRule="auto"/>
              <w:ind w:left="121" w:right="106" w:hanging="9"/>
            </w:pPr>
            <w:r>
              <w:rPr>
                <w:spacing w:val="16"/>
              </w:rPr>
              <w:t>课程基本信息明显不</w:t>
            </w:r>
            <w:r>
              <w:rPr>
                <w:spacing w:val="-72"/>
              </w:rPr>
              <w:t xml:space="preserve"> </w:t>
            </w:r>
            <w:r>
              <w:rPr>
                <w:spacing w:val="16"/>
              </w:rPr>
              <w:t>一</w:t>
            </w:r>
            <w:r>
              <w:t xml:space="preserve"> 致</w:t>
            </w:r>
          </w:p>
        </w:tc>
        <w:tc>
          <w:tcPr>
            <w:tcW w:w="4297" w:type="dxa"/>
            <w:vAlign w:val="top"/>
          </w:tcPr>
          <w:p w14:paraId="3561F9C6">
            <w:pPr>
              <w:pStyle w:val="5"/>
              <w:spacing w:before="88" w:line="241" w:lineRule="auto"/>
              <w:ind w:left="117" w:right="105" w:hanging="2"/>
              <w:rPr>
                <w:highlight w:val="none"/>
              </w:rPr>
            </w:pPr>
            <w:r>
              <w:rPr>
                <w:spacing w:val="11"/>
                <w:highlight w:val="none"/>
              </w:rPr>
              <w:t>查看教务系统截图，</w:t>
            </w:r>
            <w:r>
              <w:rPr>
                <w:spacing w:val="-67"/>
                <w:highlight w:val="none"/>
              </w:rPr>
              <w:t xml:space="preserve"> </w:t>
            </w:r>
            <w:r>
              <w:rPr>
                <w:spacing w:val="11"/>
                <w:highlight w:val="none"/>
              </w:rPr>
              <w:t>重点比对课程名</w:t>
            </w:r>
            <w:r>
              <w:rPr>
                <w:highlight w:val="none"/>
              </w:rPr>
              <w:t xml:space="preserve"> </w:t>
            </w:r>
            <w:r>
              <w:rPr>
                <w:spacing w:val="-1"/>
                <w:highlight w:val="none"/>
              </w:rPr>
              <w:t>称、授课教师、学时等有关说明材料</w:t>
            </w:r>
          </w:p>
        </w:tc>
      </w:tr>
      <w:tr w14:paraId="2D86D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313" w:type="dxa"/>
            <w:vMerge w:val="continue"/>
            <w:tcBorders>
              <w:top w:val="nil"/>
            </w:tcBorders>
            <w:vAlign w:val="top"/>
          </w:tcPr>
          <w:p w14:paraId="1013AFED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Align w:val="top"/>
          </w:tcPr>
          <w:p w14:paraId="3B55D3A6">
            <w:pPr>
              <w:pStyle w:val="5"/>
              <w:spacing w:before="87" w:line="253" w:lineRule="auto"/>
              <w:ind w:left="113" w:right="104" w:hanging="1"/>
              <w:jc w:val="both"/>
            </w:pPr>
            <w:r>
              <w:rPr>
                <w:spacing w:val="-3"/>
              </w:rPr>
              <w:t>课程内容存在政治性、思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想性问题，以及科学性问</w:t>
            </w:r>
            <w:r>
              <w:rPr>
                <w:spacing w:val="1"/>
              </w:rPr>
              <w:t xml:space="preserve"> </w:t>
            </w:r>
            <w:r>
              <w:t>题</w:t>
            </w:r>
          </w:p>
        </w:tc>
        <w:tc>
          <w:tcPr>
            <w:tcW w:w="4297" w:type="dxa"/>
            <w:vAlign w:val="top"/>
          </w:tcPr>
          <w:p w14:paraId="6D6C2738">
            <w:pPr>
              <w:pStyle w:val="5"/>
              <w:spacing w:before="267" w:line="262" w:lineRule="auto"/>
              <w:ind w:left="125" w:right="107" w:hanging="10"/>
            </w:pPr>
            <w:r>
              <w:rPr>
                <w:spacing w:val="-1"/>
              </w:rPr>
              <w:t>查看提交的资料，核实是否存在重要意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识形态问题或科学性问题</w:t>
            </w:r>
          </w:p>
        </w:tc>
      </w:tr>
      <w:tr w14:paraId="0C728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313" w:type="dxa"/>
            <w:vAlign w:val="top"/>
          </w:tcPr>
          <w:p w14:paraId="24951F0E">
            <w:pPr>
              <w:pStyle w:val="5"/>
              <w:spacing w:before="279" w:line="217" w:lineRule="auto"/>
              <w:ind w:left="181"/>
            </w:pPr>
            <w:r>
              <w:rPr>
                <w:spacing w:val="-2"/>
              </w:rPr>
              <w:t>教师资格</w:t>
            </w:r>
          </w:p>
        </w:tc>
        <w:tc>
          <w:tcPr>
            <w:tcW w:w="2833" w:type="dxa"/>
            <w:vAlign w:val="top"/>
          </w:tcPr>
          <w:p w14:paraId="4A37DF07">
            <w:pPr>
              <w:pStyle w:val="5"/>
              <w:spacing w:before="88" w:line="241" w:lineRule="auto"/>
              <w:ind w:left="116" w:right="106" w:firstLine="20"/>
            </w:pPr>
            <w:r>
              <w:rPr>
                <w:spacing w:val="18"/>
              </w:rPr>
              <w:t>团队成员存在师德师风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方面问题</w:t>
            </w:r>
          </w:p>
        </w:tc>
        <w:tc>
          <w:tcPr>
            <w:tcW w:w="4297" w:type="dxa"/>
            <w:vAlign w:val="top"/>
          </w:tcPr>
          <w:p w14:paraId="32D57486">
            <w:pPr>
              <w:pStyle w:val="5"/>
              <w:spacing w:before="88" w:line="241" w:lineRule="auto"/>
              <w:ind w:left="123" w:right="122" w:hanging="8"/>
            </w:pPr>
            <w:r>
              <w:rPr>
                <w:spacing w:val="-3"/>
              </w:rPr>
              <w:t>查看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团队成员政治审查意见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spacing w:val="-3"/>
              </w:rPr>
              <w:t>，</w:t>
            </w:r>
            <w:r>
              <w:rPr>
                <w:spacing w:val="-67"/>
              </w:rPr>
              <w:t xml:space="preserve"> </w:t>
            </w:r>
            <w:r>
              <w:rPr>
                <w:spacing w:val="-3"/>
              </w:rPr>
              <w:t>以及提</w:t>
            </w:r>
            <w:r>
              <w:t xml:space="preserve"> </w:t>
            </w:r>
            <w:r>
              <w:rPr>
                <w:spacing w:val="-2"/>
              </w:rPr>
              <w:t>交的资料，或者举报属实</w:t>
            </w:r>
          </w:p>
        </w:tc>
      </w:tr>
      <w:tr w14:paraId="284CB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313" w:type="dxa"/>
            <w:vMerge w:val="restart"/>
            <w:tcBorders>
              <w:bottom w:val="nil"/>
            </w:tcBorders>
            <w:vAlign w:val="top"/>
          </w:tcPr>
          <w:p w14:paraId="0694A770">
            <w:pPr>
              <w:spacing w:line="405" w:lineRule="auto"/>
              <w:rPr>
                <w:rFonts w:ascii="Arial"/>
                <w:sz w:val="21"/>
              </w:rPr>
            </w:pPr>
          </w:p>
          <w:p w14:paraId="669C95C0">
            <w:pPr>
              <w:pStyle w:val="5"/>
              <w:spacing w:before="78" w:line="215" w:lineRule="auto"/>
              <w:ind w:left="217"/>
            </w:pPr>
            <w:r>
              <w:rPr>
                <w:spacing w:val="-9"/>
              </w:rPr>
              <w:t>申报材料</w:t>
            </w:r>
          </w:p>
        </w:tc>
        <w:tc>
          <w:tcPr>
            <w:tcW w:w="2833" w:type="dxa"/>
            <w:vAlign w:val="top"/>
          </w:tcPr>
          <w:p w14:paraId="2279AF9F">
            <w:pPr>
              <w:pStyle w:val="5"/>
              <w:spacing w:before="188" w:line="215" w:lineRule="auto"/>
              <w:ind w:left="147"/>
            </w:pPr>
            <w:r>
              <w:rPr>
                <w:spacing w:val="-7"/>
              </w:rPr>
              <w:t>申报材料造假</w:t>
            </w:r>
          </w:p>
        </w:tc>
        <w:tc>
          <w:tcPr>
            <w:tcW w:w="4297" w:type="dxa"/>
            <w:vAlign w:val="top"/>
          </w:tcPr>
          <w:p w14:paraId="17AD0630">
            <w:pPr>
              <w:pStyle w:val="5"/>
              <w:spacing w:before="188" w:line="215" w:lineRule="auto"/>
              <w:ind w:left="115"/>
            </w:pPr>
            <w:r>
              <w:rPr>
                <w:spacing w:val="-1"/>
              </w:rPr>
              <w:t>查看提交的材料，或举报属实</w:t>
            </w:r>
          </w:p>
        </w:tc>
      </w:tr>
      <w:tr w14:paraId="1A4AF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313" w:type="dxa"/>
            <w:vMerge w:val="continue"/>
            <w:tcBorders>
              <w:top w:val="nil"/>
            </w:tcBorders>
            <w:vAlign w:val="top"/>
          </w:tcPr>
          <w:p w14:paraId="295C2270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Align w:val="top"/>
          </w:tcPr>
          <w:p w14:paraId="46D8E791">
            <w:pPr>
              <w:pStyle w:val="5"/>
              <w:spacing w:before="189" w:line="217" w:lineRule="auto"/>
              <w:ind w:left="112"/>
            </w:pPr>
            <w:r>
              <w:rPr>
                <w:spacing w:val="-1"/>
              </w:rPr>
              <w:t>发现且确认有侵权现象</w:t>
            </w:r>
          </w:p>
        </w:tc>
        <w:tc>
          <w:tcPr>
            <w:tcW w:w="4297" w:type="dxa"/>
            <w:vAlign w:val="top"/>
          </w:tcPr>
          <w:p w14:paraId="7077BAC0">
            <w:pPr>
              <w:pStyle w:val="5"/>
              <w:spacing w:before="189" w:line="215" w:lineRule="auto"/>
              <w:ind w:left="115"/>
            </w:pPr>
            <w:r>
              <w:rPr>
                <w:spacing w:val="-1"/>
              </w:rPr>
              <w:t>查看提交的材料，或举报属实</w:t>
            </w:r>
          </w:p>
        </w:tc>
      </w:tr>
    </w:tbl>
    <w:p w14:paraId="6215720D">
      <w:pPr>
        <w:rPr>
          <w:rFonts w:ascii="Arial"/>
          <w:sz w:val="21"/>
        </w:rPr>
      </w:pPr>
    </w:p>
    <w:sectPr>
      <w:footerReference r:id="rId6" w:type="default"/>
      <w:pgSz w:w="11906" w:h="16839"/>
      <w:pgMar w:top="1431" w:right="1698" w:bottom="1058" w:left="1687" w:header="0" w:footer="8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AEB74">
    <w:pPr>
      <w:spacing w:line="172" w:lineRule="auto"/>
      <w:ind w:left="3962"/>
      <w:rPr>
        <w:rFonts w:ascii="仿宋" w:hAnsi="仿宋" w:eastAsia="仿宋" w:cs="仿宋"/>
        <w:sz w:val="24"/>
        <w:szCs w:val="24"/>
      </w:rPr>
    </w:pPr>
    <w:r>
      <w:rPr>
        <w:rFonts w:ascii="仿宋" w:hAnsi="仿宋" w:eastAsia="仿宋" w:cs="仿宋"/>
        <w:spacing w:val="-3"/>
        <w:sz w:val="24"/>
        <w:szCs w:val="24"/>
      </w:rPr>
      <w:t>—4—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B3287">
    <w:pPr>
      <w:spacing w:before="1" w:line="170" w:lineRule="auto"/>
      <w:ind w:left="3973"/>
      <w:rPr>
        <w:rFonts w:ascii="仿宋" w:hAnsi="仿宋" w:eastAsia="仿宋" w:cs="仿宋"/>
        <w:sz w:val="24"/>
        <w:szCs w:val="24"/>
      </w:rPr>
    </w:pPr>
    <w:r>
      <w:rPr>
        <w:rFonts w:ascii="仿宋" w:hAnsi="仿宋" w:eastAsia="仿宋" w:cs="仿宋"/>
        <w:spacing w:val="-3"/>
        <w:sz w:val="24"/>
        <w:szCs w:val="24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U5YTMwYWM2NDBlZWI2NmY2MzkxNDcyNzkzOWM1NmEifQ=="/>
  </w:docVars>
  <w:rsids>
    <w:rsidRoot w:val="00000000"/>
    <w:rsid w:val="1C1B24EA"/>
    <w:rsid w:val="328153EA"/>
    <w:rsid w:val="34FF63CE"/>
    <w:rsid w:val="476763AC"/>
    <w:rsid w:val="5E2D31D3"/>
    <w:rsid w:val="70AB15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1309</Words>
  <Characters>1331</Characters>
  <TotalTime>30</TotalTime>
  <ScaleCrop>false</ScaleCrop>
  <LinksUpToDate>false</LinksUpToDate>
  <CharactersWithSpaces>1372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2024-10-23T09:33:00Z</dcterms:created>
  <dc:creator>27105</dc:creator>
  <cp:lastModifiedBy>夏小溪</cp:lastModifiedBy>
  <dcterms:modified xsi:type="dcterms:W3CDTF">2025-07-01T00:59:07Z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2024-10-23T17:32:54Z</vt:filetime>
  </property>
  <property fmtid="{D5CDD505-2E9C-101B-9397-08002B2CF9AE}" pid="4" name="KSOProductBuildVer">
    <vt:lpwstr>2052-12.1.0.21541</vt:lpwstr>
  </property>
  <property fmtid="{D5CDD505-2E9C-101B-9397-08002B2CF9AE}" pid="5" name="ICV">
    <vt:lpwstr>3A7334993ED243EA9731E922FFB7C087_13</vt:lpwstr>
  </property>
  <property fmtid="{D5CDD505-2E9C-101B-9397-08002B2CF9AE}" pid="6" name="KSOTemplateDocerSaveRecord">
    <vt:lpwstr>eyJoZGlkIjoiMzU5YTMwYWM2NDBlZWI2NmY2MzkxNDcyNzkzOWM1NmEiLCJ1c2VySWQiOiIyMjg5OTU1ODEifQ==</vt:lpwstr>
  </property>
</Properties>
</file>