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B7C9B">
      <w:pPr>
        <w:widowControl/>
        <w:adjustRightInd w:val="0"/>
        <w:snapToGrid w:val="0"/>
        <w:spacing w:line="360" w:lineRule="auto"/>
        <w:jc w:val="left"/>
        <w:rPr>
          <w:rFonts w:hint="default" w:ascii="方正黑体_GBK" w:hAnsi="仿宋" w:eastAsia="方正黑体_GBK"/>
          <w:sz w:val="32"/>
          <w:szCs w:val="32"/>
          <w:lang w:val="en-US" w:eastAsia="zh-CN"/>
        </w:rPr>
      </w:pPr>
      <w:r>
        <w:rPr>
          <w:rFonts w:hint="eastAsia" w:ascii="方正黑体_GBK" w:hAnsi="仿宋" w:eastAsia="方正黑体_GBK"/>
          <w:sz w:val="32"/>
          <w:szCs w:val="32"/>
        </w:rPr>
        <w:t>附件1</w:t>
      </w:r>
      <w:r>
        <w:rPr>
          <w:rFonts w:hint="eastAsia" w:ascii="方正黑体_GBK" w:hAnsi="仿宋" w:eastAsia="方正黑体_GBK"/>
          <w:sz w:val="32"/>
          <w:szCs w:val="32"/>
          <w:lang w:val="en-US" w:eastAsia="zh-CN"/>
        </w:rPr>
        <w:t>-1</w:t>
      </w:r>
    </w:p>
    <w:p w14:paraId="7EC51684">
      <w:pPr>
        <w:adjustRightInd w:val="0"/>
        <w:snapToGrid w:val="0"/>
        <w:spacing w:line="360" w:lineRule="auto"/>
        <w:jc w:val="center"/>
        <w:rPr>
          <w:rFonts w:ascii="黑体" w:hAnsi="黑体" w:eastAsia="黑体" w:cs="方正黑体_GBK"/>
          <w:b/>
          <w:sz w:val="28"/>
          <w:szCs w:val="28"/>
        </w:rPr>
      </w:pPr>
      <w:r>
        <w:rPr>
          <w:rFonts w:ascii="黑体" w:hAnsi="黑体" w:eastAsia="黑体" w:cs="方正黑体_GBK"/>
          <w:b/>
          <w:sz w:val="28"/>
          <w:szCs w:val="28"/>
        </w:rPr>
        <w:t>江苏海事职业技术学院</w:t>
      </w:r>
      <w:r>
        <w:rPr>
          <w:rFonts w:hint="eastAsia" w:ascii="黑体" w:hAnsi="黑体" w:eastAsia="黑体" w:cs="方正黑体_GBK"/>
          <w:b/>
          <w:sz w:val="28"/>
          <w:szCs w:val="28"/>
        </w:rPr>
        <w:t>校级课程思政示范课程建设标准</w:t>
      </w:r>
    </w:p>
    <w:tbl>
      <w:tblPr>
        <w:tblStyle w:val="2"/>
        <w:tblW w:w="53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9"/>
        <w:gridCol w:w="1652"/>
        <w:gridCol w:w="6147"/>
      </w:tblGrid>
      <w:tr w14:paraId="2990E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737" w:type="pct"/>
            <w:tcBorders>
              <w:top w:val="single" w:color="auto" w:sz="4" w:space="0"/>
              <w:left w:val="single" w:color="auto" w:sz="4" w:space="0"/>
              <w:bottom w:val="single" w:color="auto" w:sz="4" w:space="0"/>
              <w:right w:val="single" w:color="auto" w:sz="4" w:space="0"/>
            </w:tcBorders>
            <w:noWrap/>
            <w:vAlign w:val="center"/>
          </w:tcPr>
          <w:p w14:paraId="0E8BF09D">
            <w:pPr>
              <w:adjustRightInd w:val="0"/>
              <w:snapToGrid w:val="0"/>
              <w:jc w:val="center"/>
              <w:rPr>
                <w:rFonts w:ascii="仿宋" w:hAnsi="仿宋" w:eastAsia="仿宋" w:cs="仿宋"/>
                <w:b/>
                <w:sz w:val="24"/>
              </w:rPr>
            </w:pPr>
            <w:r>
              <w:rPr>
                <w:rFonts w:hint="eastAsia" w:ascii="仿宋" w:hAnsi="仿宋" w:eastAsia="仿宋" w:cs="仿宋"/>
                <w:b/>
                <w:sz w:val="24"/>
              </w:rPr>
              <w:t>一级指标</w:t>
            </w:r>
          </w:p>
        </w:tc>
        <w:tc>
          <w:tcPr>
            <w:tcW w:w="903" w:type="pct"/>
            <w:tcBorders>
              <w:top w:val="single" w:color="auto" w:sz="4" w:space="0"/>
              <w:left w:val="single" w:color="auto" w:sz="4" w:space="0"/>
              <w:bottom w:val="single" w:color="auto" w:sz="4" w:space="0"/>
              <w:right w:val="single" w:color="auto" w:sz="4" w:space="0"/>
            </w:tcBorders>
            <w:noWrap/>
            <w:vAlign w:val="center"/>
          </w:tcPr>
          <w:p w14:paraId="3D2C96EB">
            <w:pPr>
              <w:adjustRightInd w:val="0"/>
              <w:snapToGrid w:val="0"/>
              <w:jc w:val="center"/>
              <w:rPr>
                <w:rFonts w:ascii="仿宋" w:hAnsi="仿宋" w:eastAsia="仿宋" w:cs="仿宋"/>
                <w:b/>
                <w:sz w:val="24"/>
              </w:rPr>
            </w:pPr>
            <w:r>
              <w:rPr>
                <w:rFonts w:hint="eastAsia" w:ascii="仿宋" w:hAnsi="仿宋" w:eastAsia="仿宋" w:cs="仿宋"/>
                <w:b/>
                <w:sz w:val="24"/>
              </w:rPr>
              <w:t>二级指标</w:t>
            </w:r>
          </w:p>
        </w:tc>
        <w:tc>
          <w:tcPr>
            <w:tcW w:w="3360" w:type="pct"/>
            <w:tcBorders>
              <w:top w:val="single" w:color="auto" w:sz="4" w:space="0"/>
              <w:left w:val="single" w:color="auto" w:sz="4" w:space="0"/>
              <w:bottom w:val="single" w:color="auto" w:sz="4" w:space="0"/>
              <w:right w:val="single" w:color="auto" w:sz="4" w:space="0"/>
            </w:tcBorders>
            <w:noWrap/>
            <w:vAlign w:val="center"/>
          </w:tcPr>
          <w:p w14:paraId="578C4839">
            <w:pPr>
              <w:adjustRightInd w:val="0"/>
              <w:snapToGrid w:val="0"/>
              <w:jc w:val="center"/>
              <w:rPr>
                <w:rFonts w:ascii="仿宋" w:hAnsi="仿宋" w:eastAsia="仿宋" w:cs="仿宋"/>
                <w:b/>
                <w:sz w:val="24"/>
              </w:rPr>
            </w:pPr>
            <w:r>
              <w:rPr>
                <w:rFonts w:hint="eastAsia" w:ascii="仿宋" w:hAnsi="仿宋" w:eastAsia="仿宋" w:cs="仿宋"/>
                <w:b/>
                <w:sz w:val="24"/>
              </w:rPr>
              <w:t>指标内涵</w:t>
            </w:r>
          </w:p>
        </w:tc>
      </w:tr>
      <w:tr w14:paraId="35AF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737" w:type="pct"/>
            <w:vMerge w:val="restart"/>
            <w:tcBorders>
              <w:top w:val="single" w:color="auto" w:sz="4" w:space="0"/>
              <w:left w:val="single" w:color="auto" w:sz="4" w:space="0"/>
              <w:bottom w:val="single" w:color="auto" w:sz="4" w:space="0"/>
              <w:right w:val="single" w:color="auto" w:sz="4" w:space="0"/>
            </w:tcBorders>
            <w:noWrap/>
            <w:vAlign w:val="center"/>
          </w:tcPr>
          <w:p w14:paraId="73DB7DD9">
            <w:pPr>
              <w:adjustRightInd w:val="0"/>
              <w:snapToGrid w:val="0"/>
              <w:jc w:val="center"/>
              <w:rPr>
                <w:rFonts w:ascii="仿宋" w:hAnsi="仿宋" w:eastAsia="仿宋" w:cs="仿宋"/>
                <w:sz w:val="24"/>
              </w:rPr>
            </w:pPr>
            <w:r>
              <w:rPr>
                <w:rFonts w:hint="eastAsia" w:ascii="仿宋" w:hAnsi="仿宋" w:eastAsia="仿宋" w:cs="仿宋"/>
                <w:sz w:val="24"/>
              </w:rPr>
              <w:t>1.团队建设</w:t>
            </w:r>
          </w:p>
        </w:tc>
        <w:tc>
          <w:tcPr>
            <w:tcW w:w="903" w:type="pct"/>
            <w:tcBorders>
              <w:top w:val="single" w:color="auto" w:sz="4" w:space="0"/>
              <w:left w:val="single" w:color="auto" w:sz="4" w:space="0"/>
              <w:bottom w:val="single" w:color="auto" w:sz="4" w:space="0"/>
              <w:right w:val="single" w:color="auto" w:sz="4" w:space="0"/>
            </w:tcBorders>
            <w:noWrap/>
            <w:vAlign w:val="center"/>
          </w:tcPr>
          <w:p w14:paraId="74D2CC50">
            <w:pPr>
              <w:adjustRightInd w:val="0"/>
              <w:snapToGrid w:val="0"/>
              <w:jc w:val="left"/>
              <w:rPr>
                <w:rFonts w:ascii="仿宋" w:hAnsi="仿宋" w:eastAsia="仿宋" w:cs="仿宋"/>
                <w:sz w:val="24"/>
              </w:rPr>
            </w:pPr>
            <w:r>
              <w:rPr>
                <w:rFonts w:hint="eastAsia" w:ascii="仿宋" w:hAnsi="仿宋" w:eastAsia="仿宋" w:cs="仿宋"/>
                <w:sz w:val="24"/>
              </w:rPr>
              <w:t>1.1课程负责人（主讲教师）</w:t>
            </w:r>
          </w:p>
        </w:tc>
        <w:tc>
          <w:tcPr>
            <w:tcW w:w="3360" w:type="pct"/>
            <w:tcBorders>
              <w:top w:val="single" w:color="auto" w:sz="4" w:space="0"/>
              <w:left w:val="single" w:color="auto" w:sz="4" w:space="0"/>
              <w:bottom w:val="single" w:color="auto" w:sz="4" w:space="0"/>
              <w:right w:val="single" w:color="auto" w:sz="4" w:space="0"/>
            </w:tcBorders>
            <w:noWrap/>
            <w:vAlign w:val="center"/>
          </w:tcPr>
          <w:p w14:paraId="551158AB">
            <w:pPr>
              <w:adjustRightInd w:val="0"/>
              <w:snapToGrid w:val="0"/>
              <w:rPr>
                <w:rFonts w:ascii="仿宋" w:hAnsi="仿宋" w:eastAsia="仿宋" w:cs="仿宋"/>
                <w:sz w:val="24"/>
              </w:rPr>
            </w:pPr>
            <w:r>
              <w:rPr>
                <w:rFonts w:hint="eastAsia" w:ascii="仿宋" w:hAnsi="仿宋" w:eastAsia="仿宋" w:cs="仿宋"/>
                <w:sz w:val="24"/>
              </w:rPr>
              <w:t>二级教学单位建有详细的课程负责人遴选标准，课程负责人严格按规范的遴选程序评审而出，并经过二级学院党政联席会研究确定，具备良好的师德师风，政治立场坚定，有强烈家国情怀，思维新、视野广、自律严、人格正，注重为人师表，在课程教学中融入真善美。</w:t>
            </w:r>
          </w:p>
        </w:tc>
      </w:tr>
      <w:tr w14:paraId="16B4A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737" w:type="pct"/>
            <w:vMerge w:val="continue"/>
            <w:tcBorders>
              <w:top w:val="single" w:color="auto" w:sz="4" w:space="0"/>
              <w:left w:val="single" w:color="auto" w:sz="4" w:space="0"/>
              <w:bottom w:val="single" w:color="auto" w:sz="4" w:space="0"/>
              <w:right w:val="single" w:color="auto" w:sz="4" w:space="0"/>
            </w:tcBorders>
            <w:noWrap/>
            <w:vAlign w:val="center"/>
          </w:tcPr>
          <w:p w14:paraId="6C896580">
            <w:pPr>
              <w:adjustRightInd w:val="0"/>
              <w:snapToGrid w:val="0"/>
              <w:jc w:val="center"/>
              <w:rPr>
                <w:rFonts w:ascii="仿宋" w:hAnsi="仿宋" w:eastAsia="仿宋" w:cs="仿宋"/>
                <w:sz w:val="24"/>
              </w:rPr>
            </w:pPr>
          </w:p>
        </w:tc>
        <w:tc>
          <w:tcPr>
            <w:tcW w:w="903" w:type="pct"/>
            <w:tcBorders>
              <w:top w:val="single" w:color="auto" w:sz="4" w:space="0"/>
              <w:left w:val="single" w:color="auto" w:sz="4" w:space="0"/>
              <w:bottom w:val="single" w:color="auto" w:sz="4" w:space="0"/>
              <w:right w:val="single" w:color="auto" w:sz="4" w:space="0"/>
            </w:tcBorders>
            <w:noWrap/>
            <w:vAlign w:val="center"/>
          </w:tcPr>
          <w:p w14:paraId="073CD4BB">
            <w:pPr>
              <w:adjustRightInd w:val="0"/>
              <w:snapToGrid w:val="0"/>
              <w:jc w:val="left"/>
              <w:rPr>
                <w:rFonts w:ascii="仿宋" w:hAnsi="仿宋" w:eastAsia="仿宋" w:cs="仿宋"/>
                <w:sz w:val="24"/>
              </w:rPr>
            </w:pPr>
            <w:r>
              <w:rPr>
                <w:rFonts w:hint="eastAsia" w:ascii="仿宋" w:hAnsi="仿宋" w:eastAsia="仿宋" w:cs="仿宋"/>
                <w:sz w:val="24"/>
              </w:rPr>
              <w:t>1.2课</w:t>
            </w:r>
            <w:bookmarkStart w:id="0" w:name="_GoBack"/>
            <w:bookmarkEnd w:id="0"/>
            <w:r>
              <w:rPr>
                <w:rFonts w:hint="eastAsia" w:ascii="仿宋" w:hAnsi="仿宋" w:eastAsia="仿宋" w:cs="仿宋"/>
                <w:sz w:val="24"/>
              </w:rPr>
              <w:t>程团队</w:t>
            </w:r>
          </w:p>
        </w:tc>
        <w:tc>
          <w:tcPr>
            <w:tcW w:w="3360" w:type="pct"/>
            <w:tcBorders>
              <w:top w:val="single" w:color="auto" w:sz="4" w:space="0"/>
              <w:left w:val="single" w:color="auto" w:sz="4" w:space="0"/>
              <w:bottom w:val="single" w:color="auto" w:sz="4" w:space="0"/>
              <w:right w:val="single" w:color="auto" w:sz="4" w:space="0"/>
            </w:tcBorders>
            <w:noWrap/>
            <w:vAlign w:val="center"/>
          </w:tcPr>
          <w:p w14:paraId="7248A156">
            <w:pPr>
              <w:adjustRightInd w:val="0"/>
              <w:snapToGrid w:val="0"/>
              <w:rPr>
                <w:rFonts w:ascii="仿宋" w:hAnsi="仿宋" w:eastAsia="仿宋" w:cs="仿宋"/>
                <w:sz w:val="24"/>
              </w:rPr>
            </w:pPr>
            <w:r>
              <w:rPr>
                <w:rFonts w:hint="eastAsia" w:ascii="仿宋" w:hAnsi="仿宋" w:eastAsia="仿宋" w:cs="仿宋"/>
                <w:sz w:val="24"/>
              </w:rPr>
              <w:t>课程团队结构合理，具有科学的年龄、职称梯队，其中副高以上职称比例不少于1人，专职专任思政教师数不少于1人；团队成员专兼结合，比例适当。课程团队所有成员平均每年承接该课程教学任务不少于80学时。团队成员建设期内无违反师德师风问题和发生教学事故。</w:t>
            </w:r>
          </w:p>
        </w:tc>
      </w:tr>
      <w:tr w14:paraId="2A028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737" w:type="pct"/>
            <w:vMerge w:val="continue"/>
            <w:tcBorders>
              <w:top w:val="single" w:color="auto" w:sz="4" w:space="0"/>
              <w:left w:val="single" w:color="auto" w:sz="4" w:space="0"/>
              <w:bottom w:val="single" w:color="auto" w:sz="4" w:space="0"/>
              <w:right w:val="single" w:color="auto" w:sz="4" w:space="0"/>
            </w:tcBorders>
            <w:noWrap/>
            <w:vAlign w:val="center"/>
          </w:tcPr>
          <w:p w14:paraId="21015B3A">
            <w:pPr>
              <w:adjustRightInd w:val="0"/>
              <w:snapToGrid w:val="0"/>
              <w:jc w:val="center"/>
              <w:rPr>
                <w:rFonts w:ascii="仿宋" w:hAnsi="仿宋" w:eastAsia="仿宋" w:cs="仿宋"/>
                <w:sz w:val="24"/>
              </w:rPr>
            </w:pPr>
          </w:p>
        </w:tc>
        <w:tc>
          <w:tcPr>
            <w:tcW w:w="903" w:type="pct"/>
            <w:tcBorders>
              <w:top w:val="single" w:color="auto" w:sz="4" w:space="0"/>
              <w:left w:val="single" w:color="auto" w:sz="4" w:space="0"/>
              <w:bottom w:val="single" w:color="auto" w:sz="4" w:space="0"/>
              <w:right w:val="single" w:color="auto" w:sz="4" w:space="0"/>
            </w:tcBorders>
            <w:noWrap/>
            <w:vAlign w:val="center"/>
          </w:tcPr>
          <w:p w14:paraId="48FE707B">
            <w:pPr>
              <w:adjustRightInd w:val="0"/>
              <w:snapToGrid w:val="0"/>
              <w:jc w:val="left"/>
              <w:rPr>
                <w:rFonts w:ascii="仿宋" w:hAnsi="仿宋" w:eastAsia="仿宋" w:cs="仿宋"/>
                <w:sz w:val="24"/>
              </w:rPr>
            </w:pPr>
            <w:r>
              <w:rPr>
                <w:rFonts w:hint="eastAsia" w:ascii="仿宋" w:hAnsi="仿宋" w:eastAsia="仿宋" w:cs="仿宋"/>
                <w:sz w:val="24"/>
              </w:rPr>
              <w:t>1.3工作机制</w:t>
            </w:r>
          </w:p>
        </w:tc>
        <w:tc>
          <w:tcPr>
            <w:tcW w:w="3360" w:type="pct"/>
            <w:tcBorders>
              <w:top w:val="single" w:color="auto" w:sz="4" w:space="0"/>
              <w:left w:val="single" w:color="auto" w:sz="4" w:space="0"/>
              <w:bottom w:val="single" w:color="auto" w:sz="4" w:space="0"/>
              <w:right w:val="single" w:color="auto" w:sz="4" w:space="0"/>
            </w:tcBorders>
            <w:noWrap/>
            <w:vAlign w:val="center"/>
          </w:tcPr>
          <w:p w14:paraId="1B379042">
            <w:pPr>
              <w:adjustRightInd w:val="0"/>
              <w:snapToGrid w:val="0"/>
              <w:rPr>
                <w:rFonts w:ascii="仿宋" w:hAnsi="仿宋" w:eastAsia="仿宋" w:cs="仿宋"/>
                <w:sz w:val="24"/>
              </w:rPr>
            </w:pPr>
            <w:r>
              <w:rPr>
                <w:rFonts w:hint="eastAsia" w:ascii="仿宋" w:hAnsi="仿宋" w:eastAsia="仿宋" w:cs="仿宋"/>
                <w:sz w:val="24"/>
              </w:rPr>
              <w:t>每学期至少开展2次课程思政专项教研活动，建立课程思政集体教研制度，有计划的组织教师参加教学能力等相关专题培训。建设过程性文档收集、整理、保存规范，能很好的支撑建设过程。</w:t>
            </w:r>
          </w:p>
        </w:tc>
      </w:tr>
      <w:tr w14:paraId="16021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37" w:type="pct"/>
            <w:vMerge w:val="continue"/>
            <w:tcBorders>
              <w:top w:val="single" w:color="auto" w:sz="4" w:space="0"/>
              <w:left w:val="single" w:color="auto" w:sz="4" w:space="0"/>
              <w:bottom w:val="single" w:color="auto" w:sz="4" w:space="0"/>
              <w:right w:val="single" w:color="auto" w:sz="4" w:space="0"/>
            </w:tcBorders>
            <w:noWrap/>
            <w:vAlign w:val="center"/>
          </w:tcPr>
          <w:p w14:paraId="535B2870">
            <w:pPr>
              <w:adjustRightInd w:val="0"/>
              <w:snapToGrid w:val="0"/>
              <w:jc w:val="center"/>
              <w:rPr>
                <w:rFonts w:ascii="仿宋" w:hAnsi="仿宋" w:eastAsia="仿宋" w:cs="仿宋"/>
                <w:sz w:val="24"/>
              </w:rPr>
            </w:pPr>
          </w:p>
        </w:tc>
        <w:tc>
          <w:tcPr>
            <w:tcW w:w="903" w:type="pct"/>
            <w:tcBorders>
              <w:top w:val="single" w:color="auto" w:sz="4" w:space="0"/>
              <w:left w:val="single" w:color="auto" w:sz="4" w:space="0"/>
              <w:bottom w:val="single" w:color="auto" w:sz="4" w:space="0"/>
              <w:right w:val="single" w:color="auto" w:sz="4" w:space="0"/>
            </w:tcBorders>
            <w:noWrap/>
            <w:vAlign w:val="center"/>
          </w:tcPr>
          <w:p w14:paraId="69BE40B6">
            <w:pPr>
              <w:adjustRightInd w:val="0"/>
              <w:snapToGrid w:val="0"/>
              <w:jc w:val="left"/>
              <w:rPr>
                <w:rFonts w:ascii="仿宋" w:hAnsi="仿宋" w:eastAsia="仿宋" w:cs="仿宋"/>
                <w:sz w:val="24"/>
              </w:rPr>
            </w:pPr>
            <w:r>
              <w:rPr>
                <w:rFonts w:hint="eastAsia" w:ascii="仿宋" w:hAnsi="仿宋" w:eastAsia="仿宋" w:cs="仿宋"/>
                <w:sz w:val="24"/>
              </w:rPr>
              <w:t>1.4经费使用</w:t>
            </w:r>
          </w:p>
        </w:tc>
        <w:tc>
          <w:tcPr>
            <w:tcW w:w="3360" w:type="pct"/>
            <w:tcBorders>
              <w:top w:val="single" w:color="auto" w:sz="4" w:space="0"/>
              <w:left w:val="single" w:color="auto" w:sz="4" w:space="0"/>
              <w:bottom w:val="single" w:color="auto" w:sz="4" w:space="0"/>
              <w:right w:val="single" w:color="auto" w:sz="4" w:space="0"/>
            </w:tcBorders>
            <w:noWrap/>
            <w:vAlign w:val="center"/>
          </w:tcPr>
          <w:p w14:paraId="6E312189">
            <w:pPr>
              <w:adjustRightInd w:val="0"/>
              <w:snapToGrid w:val="0"/>
              <w:rPr>
                <w:rFonts w:ascii="仿宋" w:hAnsi="仿宋" w:eastAsia="仿宋" w:cs="仿宋"/>
                <w:sz w:val="24"/>
              </w:rPr>
            </w:pPr>
            <w:r>
              <w:rPr>
                <w:rFonts w:hint="eastAsia" w:ascii="仿宋" w:hAnsi="仿宋" w:eastAsia="仿宋" w:cs="仿宋"/>
                <w:sz w:val="24"/>
              </w:rPr>
              <w:t>经费使用规范，无违规使用资金情况，资金年度执行率都达80%以上。</w:t>
            </w:r>
          </w:p>
        </w:tc>
      </w:tr>
      <w:tr w14:paraId="2AFE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737" w:type="pct"/>
            <w:vMerge w:val="restart"/>
            <w:tcBorders>
              <w:top w:val="single" w:color="auto" w:sz="4" w:space="0"/>
              <w:left w:val="single" w:color="auto" w:sz="4" w:space="0"/>
              <w:bottom w:val="single" w:color="auto" w:sz="4" w:space="0"/>
              <w:right w:val="single" w:color="auto" w:sz="4" w:space="0"/>
            </w:tcBorders>
            <w:noWrap/>
            <w:vAlign w:val="center"/>
          </w:tcPr>
          <w:p w14:paraId="28ABFDDF">
            <w:pPr>
              <w:adjustRightInd w:val="0"/>
              <w:snapToGrid w:val="0"/>
              <w:jc w:val="center"/>
              <w:rPr>
                <w:rFonts w:ascii="仿宋" w:hAnsi="仿宋" w:eastAsia="仿宋" w:cs="仿宋"/>
                <w:sz w:val="24"/>
              </w:rPr>
            </w:pPr>
            <w:r>
              <w:rPr>
                <w:rFonts w:hint="eastAsia" w:ascii="仿宋" w:hAnsi="仿宋" w:eastAsia="仿宋" w:cs="仿宋"/>
                <w:sz w:val="24"/>
              </w:rPr>
              <w:t>2.教学内容</w:t>
            </w:r>
          </w:p>
        </w:tc>
        <w:tc>
          <w:tcPr>
            <w:tcW w:w="903" w:type="pct"/>
            <w:tcBorders>
              <w:top w:val="single" w:color="auto" w:sz="4" w:space="0"/>
              <w:left w:val="single" w:color="auto" w:sz="4" w:space="0"/>
              <w:bottom w:val="single" w:color="auto" w:sz="4" w:space="0"/>
              <w:right w:val="single" w:color="auto" w:sz="4" w:space="0"/>
            </w:tcBorders>
            <w:noWrap/>
            <w:vAlign w:val="center"/>
          </w:tcPr>
          <w:p w14:paraId="5278E0DC">
            <w:pPr>
              <w:adjustRightInd w:val="0"/>
              <w:snapToGrid w:val="0"/>
              <w:jc w:val="left"/>
              <w:rPr>
                <w:rFonts w:ascii="仿宋" w:hAnsi="仿宋" w:eastAsia="仿宋" w:cs="仿宋"/>
                <w:sz w:val="24"/>
              </w:rPr>
            </w:pPr>
            <w:r>
              <w:rPr>
                <w:rFonts w:hint="eastAsia" w:ascii="仿宋" w:hAnsi="仿宋" w:eastAsia="仿宋" w:cs="仿宋"/>
                <w:sz w:val="24"/>
              </w:rPr>
              <w:t>2.1课程目标</w:t>
            </w:r>
          </w:p>
        </w:tc>
        <w:tc>
          <w:tcPr>
            <w:tcW w:w="3360" w:type="pct"/>
            <w:tcBorders>
              <w:top w:val="single" w:color="auto" w:sz="4" w:space="0"/>
              <w:left w:val="single" w:color="auto" w:sz="4" w:space="0"/>
              <w:bottom w:val="single" w:color="auto" w:sz="4" w:space="0"/>
              <w:right w:val="single" w:color="auto" w:sz="4" w:space="0"/>
            </w:tcBorders>
            <w:noWrap/>
            <w:vAlign w:val="center"/>
          </w:tcPr>
          <w:p w14:paraId="6DC2A001">
            <w:pPr>
              <w:adjustRightInd w:val="0"/>
              <w:snapToGrid w:val="0"/>
              <w:jc w:val="left"/>
              <w:rPr>
                <w:rFonts w:ascii="仿宋" w:hAnsi="仿宋" w:eastAsia="仿宋" w:cs="仿宋"/>
                <w:sz w:val="24"/>
              </w:rPr>
            </w:pPr>
            <w:r>
              <w:rPr>
                <w:rFonts w:hint="eastAsia" w:ascii="仿宋" w:hAnsi="仿宋" w:eastAsia="仿宋" w:cs="仿宋"/>
                <w:sz w:val="24"/>
              </w:rPr>
              <w:t>结合本课程在专业人才培养方案中的定位，根据课程性质、特点及授课对象等，制定明确的课程思政教学目标。</w:t>
            </w:r>
          </w:p>
        </w:tc>
      </w:tr>
      <w:tr w14:paraId="4DF06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737" w:type="pct"/>
            <w:vMerge w:val="continue"/>
            <w:tcBorders>
              <w:top w:val="single" w:color="auto" w:sz="4" w:space="0"/>
              <w:left w:val="single" w:color="auto" w:sz="4" w:space="0"/>
              <w:bottom w:val="single" w:color="auto" w:sz="4" w:space="0"/>
              <w:right w:val="single" w:color="auto" w:sz="4" w:space="0"/>
            </w:tcBorders>
            <w:noWrap/>
            <w:vAlign w:val="center"/>
          </w:tcPr>
          <w:p w14:paraId="5715B9F5">
            <w:pPr>
              <w:adjustRightInd w:val="0"/>
              <w:snapToGrid w:val="0"/>
              <w:jc w:val="center"/>
              <w:rPr>
                <w:rFonts w:ascii="仿宋" w:hAnsi="仿宋" w:eastAsia="仿宋" w:cs="仿宋"/>
                <w:sz w:val="24"/>
              </w:rPr>
            </w:pPr>
          </w:p>
        </w:tc>
        <w:tc>
          <w:tcPr>
            <w:tcW w:w="903" w:type="pct"/>
            <w:tcBorders>
              <w:top w:val="single" w:color="auto" w:sz="4" w:space="0"/>
              <w:left w:val="single" w:color="auto" w:sz="4" w:space="0"/>
              <w:bottom w:val="single" w:color="auto" w:sz="4" w:space="0"/>
              <w:right w:val="single" w:color="auto" w:sz="4" w:space="0"/>
            </w:tcBorders>
            <w:noWrap/>
            <w:vAlign w:val="center"/>
          </w:tcPr>
          <w:p w14:paraId="64C684B9">
            <w:pPr>
              <w:adjustRightInd w:val="0"/>
              <w:snapToGrid w:val="0"/>
              <w:jc w:val="left"/>
              <w:rPr>
                <w:rFonts w:ascii="仿宋" w:hAnsi="仿宋" w:eastAsia="仿宋" w:cs="仿宋"/>
                <w:sz w:val="24"/>
              </w:rPr>
            </w:pPr>
            <w:r>
              <w:rPr>
                <w:rFonts w:hint="eastAsia" w:ascii="仿宋" w:hAnsi="仿宋" w:eastAsia="仿宋" w:cs="仿宋"/>
                <w:sz w:val="24"/>
              </w:rPr>
              <w:t>2.2课程设计</w:t>
            </w:r>
          </w:p>
        </w:tc>
        <w:tc>
          <w:tcPr>
            <w:tcW w:w="3360" w:type="pct"/>
            <w:tcBorders>
              <w:top w:val="single" w:color="auto" w:sz="4" w:space="0"/>
              <w:left w:val="single" w:color="auto" w:sz="4" w:space="0"/>
              <w:bottom w:val="single" w:color="auto" w:sz="4" w:space="0"/>
              <w:right w:val="single" w:color="auto" w:sz="4" w:space="0"/>
            </w:tcBorders>
            <w:noWrap/>
            <w:vAlign w:val="center"/>
          </w:tcPr>
          <w:p w14:paraId="50B0106D">
            <w:pPr>
              <w:adjustRightInd w:val="0"/>
              <w:snapToGrid w:val="0"/>
              <w:jc w:val="left"/>
              <w:rPr>
                <w:rFonts w:ascii="仿宋" w:hAnsi="仿宋" w:eastAsia="仿宋" w:cs="仿宋"/>
                <w:sz w:val="24"/>
              </w:rPr>
            </w:pPr>
            <w:r>
              <w:rPr>
                <w:rFonts w:hint="eastAsia" w:ascii="仿宋" w:hAnsi="仿宋" w:eastAsia="仿宋" w:cs="仿宋"/>
                <w:sz w:val="24"/>
              </w:rPr>
              <w:t>在课堂讲授、教学研讨、实验实训、考核评价等各环节，有机融入课程思政的理念和元素，做到恰当合理、不生硬。</w:t>
            </w:r>
          </w:p>
        </w:tc>
      </w:tr>
      <w:tr w14:paraId="726C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737" w:type="pct"/>
            <w:vMerge w:val="continue"/>
            <w:tcBorders>
              <w:top w:val="single" w:color="auto" w:sz="4" w:space="0"/>
              <w:left w:val="single" w:color="auto" w:sz="4" w:space="0"/>
              <w:bottom w:val="single" w:color="auto" w:sz="4" w:space="0"/>
              <w:right w:val="single" w:color="auto" w:sz="4" w:space="0"/>
            </w:tcBorders>
            <w:noWrap/>
            <w:vAlign w:val="center"/>
          </w:tcPr>
          <w:p w14:paraId="4F65081F">
            <w:pPr>
              <w:adjustRightInd w:val="0"/>
              <w:snapToGrid w:val="0"/>
              <w:jc w:val="center"/>
              <w:rPr>
                <w:rFonts w:ascii="仿宋" w:hAnsi="仿宋" w:eastAsia="仿宋" w:cs="仿宋"/>
                <w:sz w:val="24"/>
              </w:rPr>
            </w:pPr>
          </w:p>
        </w:tc>
        <w:tc>
          <w:tcPr>
            <w:tcW w:w="903" w:type="pct"/>
            <w:tcBorders>
              <w:top w:val="single" w:color="auto" w:sz="4" w:space="0"/>
              <w:left w:val="single" w:color="auto" w:sz="4" w:space="0"/>
              <w:bottom w:val="single" w:color="auto" w:sz="4" w:space="0"/>
              <w:right w:val="single" w:color="auto" w:sz="4" w:space="0"/>
            </w:tcBorders>
            <w:noWrap/>
            <w:vAlign w:val="center"/>
          </w:tcPr>
          <w:p w14:paraId="47760B38">
            <w:pPr>
              <w:adjustRightInd w:val="0"/>
              <w:snapToGrid w:val="0"/>
              <w:jc w:val="left"/>
              <w:rPr>
                <w:rFonts w:ascii="仿宋" w:hAnsi="仿宋" w:eastAsia="仿宋" w:cs="仿宋"/>
                <w:sz w:val="24"/>
              </w:rPr>
            </w:pPr>
            <w:r>
              <w:rPr>
                <w:rFonts w:hint="eastAsia" w:ascii="仿宋" w:hAnsi="仿宋" w:eastAsia="仿宋" w:cs="仿宋"/>
                <w:sz w:val="24"/>
              </w:rPr>
              <w:t>2.3课程资源</w:t>
            </w:r>
          </w:p>
        </w:tc>
        <w:tc>
          <w:tcPr>
            <w:tcW w:w="3360" w:type="pct"/>
            <w:tcBorders>
              <w:top w:val="single" w:color="auto" w:sz="4" w:space="0"/>
              <w:left w:val="single" w:color="auto" w:sz="4" w:space="0"/>
              <w:bottom w:val="single" w:color="auto" w:sz="4" w:space="0"/>
              <w:right w:val="single" w:color="auto" w:sz="4" w:space="0"/>
            </w:tcBorders>
            <w:noWrap/>
            <w:vAlign w:val="center"/>
          </w:tcPr>
          <w:p w14:paraId="0F881DCD">
            <w:pPr>
              <w:adjustRightInd w:val="0"/>
              <w:snapToGrid w:val="0"/>
              <w:jc w:val="left"/>
              <w:rPr>
                <w:rFonts w:ascii="仿宋" w:hAnsi="仿宋" w:eastAsia="仿宋" w:cs="仿宋"/>
                <w:sz w:val="24"/>
              </w:rPr>
            </w:pPr>
            <w:r>
              <w:rPr>
                <w:rFonts w:hint="eastAsia" w:ascii="仿宋" w:hAnsi="仿宋" w:eastAsia="仿宋" w:cs="仿宋"/>
                <w:sz w:val="24"/>
              </w:rPr>
              <w:t>根据新课程教学大纲，结合项目化教学改革，研制体现课程思政特点的新教案、新课件及其他相关教学资源，建有融入思政元素的在线开放课程并常态会开展线上线下混合式教学，建有校级课程思政重点教材或教学指导用书</w:t>
            </w:r>
          </w:p>
        </w:tc>
      </w:tr>
      <w:tr w14:paraId="1C78C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737" w:type="pct"/>
            <w:vMerge w:val="restart"/>
            <w:tcBorders>
              <w:top w:val="single" w:color="auto" w:sz="4" w:space="0"/>
              <w:left w:val="single" w:color="auto" w:sz="4" w:space="0"/>
              <w:bottom w:val="single" w:color="auto" w:sz="4" w:space="0"/>
              <w:right w:val="single" w:color="auto" w:sz="4" w:space="0"/>
            </w:tcBorders>
            <w:noWrap/>
            <w:vAlign w:val="center"/>
          </w:tcPr>
          <w:p w14:paraId="30D8F578">
            <w:pPr>
              <w:adjustRightInd w:val="0"/>
              <w:snapToGrid w:val="0"/>
              <w:jc w:val="center"/>
              <w:rPr>
                <w:rFonts w:ascii="仿宋" w:hAnsi="仿宋" w:eastAsia="仿宋" w:cs="仿宋"/>
                <w:sz w:val="24"/>
              </w:rPr>
            </w:pPr>
            <w:r>
              <w:rPr>
                <w:rFonts w:hint="eastAsia" w:ascii="仿宋" w:hAnsi="仿宋" w:eastAsia="仿宋" w:cs="仿宋"/>
                <w:sz w:val="24"/>
              </w:rPr>
              <w:t>3.教学改革</w:t>
            </w:r>
          </w:p>
        </w:tc>
        <w:tc>
          <w:tcPr>
            <w:tcW w:w="903" w:type="pct"/>
            <w:tcBorders>
              <w:top w:val="single" w:color="auto" w:sz="4" w:space="0"/>
              <w:left w:val="single" w:color="auto" w:sz="4" w:space="0"/>
              <w:bottom w:val="single" w:color="auto" w:sz="4" w:space="0"/>
              <w:right w:val="single" w:color="auto" w:sz="4" w:space="0"/>
            </w:tcBorders>
            <w:noWrap/>
            <w:vAlign w:val="center"/>
          </w:tcPr>
          <w:p w14:paraId="03FD5659">
            <w:pPr>
              <w:adjustRightInd w:val="0"/>
              <w:snapToGrid w:val="0"/>
              <w:rPr>
                <w:rFonts w:ascii="仿宋" w:hAnsi="仿宋" w:eastAsia="仿宋" w:cs="仿宋"/>
                <w:sz w:val="24"/>
              </w:rPr>
            </w:pPr>
            <w:r>
              <w:rPr>
                <w:rFonts w:hint="eastAsia" w:ascii="仿宋" w:hAnsi="仿宋" w:eastAsia="仿宋" w:cs="仿宋"/>
                <w:sz w:val="24"/>
              </w:rPr>
              <w:t>3.1教学方法</w:t>
            </w:r>
          </w:p>
        </w:tc>
        <w:tc>
          <w:tcPr>
            <w:tcW w:w="3360" w:type="pct"/>
            <w:tcBorders>
              <w:top w:val="single" w:color="auto" w:sz="4" w:space="0"/>
              <w:left w:val="single" w:color="auto" w:sz="4" w:space="0"/>
              <w:bottom w:val="single" w:color="auto" w:sz="4" w:space="0"/>
              <w:right w:val="single" w:color="auto" w:sz="4" w:space="0"/>
            </w:tcBorders>
            <w:noWrap/>
            <w:vAlign w:val="center"/>
          </w:tcPr>
          <w:p w14:paraId="1A6238A2">
            <w:pPr>
              <w:adjustRightInd w:val="0"/>
              <w:snapToGrid w:val="0"/>
              <w:rPr>
                <w:rFonts w:ascii="仿宋" w:hAnsi="仿宋" w:eastAsia="仿宋" w:cs="仿宋"/>
                <w:sz w:val="24"/>
              </w:rPr>
            </w:pPr>
            <w:r>
              <w:rPr>
                <w:rFonts w:hint="eastAsia" w:ascii="仿宋" w:hAnsi="仿宋" w:eastAsia="仿宋" w:cs="仿宋"/>
                <w:sz w:val="24"/>
              </w:rPr>
              <w:t>注重课程思政教学方法多样化，采取启发式、研究性、案例式、PBL等教学方法帮助学生树立正确的世界观、人生观和价值观。</w:t>
            </w:r>
          </w:p>
        </w:tc>
      </w:tr>
      <w:tr w14:paraId="2CEBB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37" w:type="pct"/>
            <w:vMerge w:val="continue"/>
            <w:tcBorders>
              <w:top w:val="single" w:color="auto" w:sz="4" w:space="0"/>
              <w:left w:val="single" w:color="auto" w:sz="4" w:space="0"/>
              <w:bottom w:val="single" w:color="auto" w:sz="4" w:space="0"/>
              <w:right w:val="single" w:color="auto" w:sz="4" w:space="0"/>
            </w:tcBorders>
            <w:noWrap/>
            <w:vAlign w:val="center"/>
          </w:tcPr>
          <w:p w14:paraId="1AA62E27">
            <w:pPr>
              <w:adjustRightInd w:val="0"/>
              <w:snapToGrid w:val="0"/>
              <w:jc w:val="center"/>
              <w:rPr>
                <w:rFonts w:ascii="仿宋" w:hAnsi="仿宋" w:eastAsia="仿宋" w:cs="仿宋"/>
                <w:sz w:val="24"/>
              </w:rPr>
            </w:pPr>
          </w:p>
        </w:tc>
        <w:tc>
          <w:tcPr>
            <w:tcW w:w="903" w:type="pct"/>
            <w:tcBorders>
              <w:top w:val="single" w:color="auto" w:sz="4" w:space="0"/>
              <w:left w:val="single" w:color="auto" w:sz="4" w:space="0"/>
              <w:bottom w:val="single" w:color="auto" w:sz="4" w:space="0"/>
              <w:right w:val="single" w:color="auto" w:sz="4" w:space="0"/>
            </w:tcBorders>
            <w:noWrap/>
            <w:vAlign w:val="center"/>
          </w:tcPr>
          <w:p w14:paraId="0E91780C">
            <w:pPr>
              <w:adjustRightInd w:val="0"/>
              <w:snapToGrid w:val="0"/>
              <w:rPr>
                <w:rFonts w:ascii="仿宋" w:hAnsi="仿宋" w:eastAsia="仿宋" w:cs="仿宋"/>
                <w:sz w:val="24"/>
              </w:rPr>
            </w:pPr>
            <w:r>
              <w:rPr>
                <w:rFonts w:hint="eastAsia" w:ascii="仿宋" w:hAnsi="仿宋" w:eastAsia="仿宋" w:cs="仿宋"/>
                <w:sz w:val="24"/>
              </w:rPr>
              <w:t>3.2教学手段</w:t>
            </w:r>
          </w:p>
        </w:tc>
        <w:tc>
          <w:tcPr>
            <w:tcW w:w="3360" w:type="pct"/>
            <w:tcBorders>
              <w:top w:val="single" w:color="auto" w:sz="4" w:space="0"/>
              <w:left w:val="single" w:color="auto" w:sz="4" w:space="0"/>
              <w:bottom w:val="single" w:color="auto" w:sz="4" w:space="0"/>
              <w:right w:val="single" w:color="auto" w:sz="4" w:space="0"/>
            </w:tcBorders>
            <w:noWrap/>
            <w:vAlign w:val="center"/>
          </w:tcPr>
          <w:p w14:paraId="5EB86E0A">
            <w:pPr>
              <w:adjustRightInd w:val="0"/>
              <w:snapToGrid w:val="0"/>
              <w:rPr>
                <w:rFonts w:ascii="仿宋" w:hAnsi="仿宋" w:eastAsia="仿宋" w:cs="仿宋"/>
                <w:sz w:val="24"/>
              </w:rPr>
            </w:pPr>
            <w:r>
              <w:rPr>
                <w:rFonts w:hint="eastAsia" w:ascii="仿宋" w:hAnsi="仿宋" w:eastAsia="仿宋" w:cs="仿宋"/>
                <w:sz w:val="24"/>
              </w:rPr>
              <w:t>推动课程思政与现代教育技术深度融合，创新思政元素展现形式，增强课程思政的亲和力和针对性。</w:t>
            </w:r>
          </w:p>
        </w:tc>
      </w:tr>
      <w:tr w14:paraId="06F6C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737" w:type="pct"/>
            <w:vMerge w:val="continue"/>
            <w:tcBorders>
              <w:top w:val="single" w:color="auto" w:sz="4" w:space="0"/>
              <w:left w:val="single" w:color="auto" w:sz="4" w:space="0"/>
              <w:bottom w:val="single" w:color="auto" w:sz="4" w:space="0"/>
              <w:right w:val="single" w:color="auto" w:sz="4" w:space="0"/>
            </w:tcBorders>
            <w:noWrap/>
            <w:vAlign w:val="center"/>
          </w:tcPr>
          <w:p w14:paraId="19DB3D6A">
            <w:pPr>
              <w:adjustRightInd w:val="0"/>
              <w:snapToGrid w:val="0"/>
              <w:jc w:val="center"/>
              <w:rPr>
                <w:rFonts w:ascii="仿宋" w:hAnsi="仿宋" w:eastAsia="仿宋" w:cs="仿宋"/>
                <w:sz w:val="24"/>
              </w:rPr>
            </w:pPr>
          </w:p>
        </w:tc>
        <w:tc>
          <w:tcPr>
            <w:tcW w:w="903" w:type="pct"/>
            <w:tcBorders>
              <w:top w:val="single" w:color="auto" w:sz="4" w:space="0"/>
              <w:left w:val="single" w:color="auto" w:sz="4" w:space="0"/>
              <w:bottom w:val="single" w:color="auto" w:sz="4" w:space="0"/>
              <w:right w:val="single" w:color="auto" w:sz="4" w:space="0"/>
            </w:tcBorders>
            <w:noWrap/>
            <w:vAlign w:val="center"/>
          </w:tcPr>
          <w:p w14:paraId="75D6A962">
            <w:pPr>
              <w:adjustRightInd w:val="0"/>
              <w:snapToGrid w:val="0"/>
              <w:rPr>
                <w:rFonts w:ascii="仿宋" w:hAnsi="仿宋" w:eastAsia="仿宋" w:cs="仿宋"/>
                <w:sz w:val="24"/>
              </w:rPr>
            </w:pPr>
            <w:r>
              <w:rPr>
                <w:rFonts w:hint="eastAsia" w:ascii="仿宋" w:hAnsi="仿宋" w:eastAsia="仿宋" w:cs="仿宋"/>
                <w:sz w:val="24"/>
              </w:rPr>
              <w:t>3.3课程考核</w:t>
            </w:r>
          </w:p>
        </w:tc>
        <w:tc>
          <w:tcPr>
            <w:tcW w:w="3360" w:type="pct"/>
            <w:tcBorders>
              <w:top w:val="single" w:color="auto" w:sz="4" w:space="0"/>
              <w:left w:val="single" w:color="auto" w:sz="4" w:space="0"/>
              <w:bottom w:val="single" w:color="auto" w:sz="4" w:space="0"/>
              <w:right w:val="single" w:color="auto" w:sz="4" w:space="0"/>
            </w:tcBorders>
            <w:noWrap/>
            <w:vAlign w:val="center"/>
          </w:tcPr>
          <w:p w14:paraId="2FD38A27">
            <w:pPr>
              <w:adjustRightInd w:val="0"/>
              <w:snapToGrid w:val="0"/>
              <w:rPr>
                <w:rFonts w:ascii="仿宋" w:hAnsi="仿宋" w:eastAsia="仿宋" w:cs="仿宋"/>
                <w:sz w:val="24"/>
              </w:rPr>
            </w:pPr>
            <w:r>
              <w:rPr>
                <w:rFonts w:hint="eastAsia" w:ascii="仿宋" w:hAnsi="仿宋" w:eastAsia="仿宋" w:cs="仿宋"/>
                <w:sz w:val="24"/>
              </w:rPr>
              <w:t>将课程思政元素充分融入过程考核和结课考核所涵盖的知识、能力与素质中。</w:t>
            </w:r>
          </w:p>
        </w:tc>
      </w:tr>
      <w:tr w14:paraId="3BBF3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737" w:type="pct"/>
            <w:vMerge w:val="restart"/>
            <w:tcBorders>
              <w:top w:val="single" w:color="auto" w:sz="4" w:space="0"/>
              <w:left w:val="single" w:color="auto" w:sz="4" w:space="0"/>
              <w:bottom w:val="single" w:color="auto" w:sz="4" w:space="0"/>
              <w:right w:val="single" w:color="auto" w:sz="4" w:space="0"/>
            </w:tcBorders>
            <w:noWrap/>
            <w:vAlign w:val="center"/>
          </w:tcPr>
          <w:p w14:paraId="09BC000A">
            <w:pPr>
              <w:widowControl/>
              <w:adjustRightInd w:val="0"/>
              <w:snapToGrid w:val="0"/>
              <w:jc w:val="center"/>
              <w:rPr>
                <w:rFonts w:ascii="仿宋" w:hAnsi="仿宋" w:eastAsia="仿宋" w:cs="仿宋"/>
                <w:sz w:val="24"/>
              </w:rPr>
            </w:pPr>
            <w:r>
              <w:rPr>
                <w:rFonts w:hint="eastAsia" w:ascii="仿宋" w:hAnsi="仿宋" w:eastAsia="仿宋" w:cs="仿宋"/>
                <w:sz w:val="24"/>
              </w:rPr>
              <w:t>4.教学成效</w:t>
            </w:r>
          </w:p>
        </w:tc>
        <w:tc>
          <w:tcPr>
            <w:tcW w:w="903" w:type="pct"/>
            <w:tcBorders>
              <w:top w:val="single" w:color="auto" w:sz="4" w:space="0"/>
              <w:left w:val="single" w:color="auto" w:sz="4" w:space="0"/>
              <w:bottom w:val="single" w:color="auto" w:sz="4" w:space="0"/>
              <w:right w:val="single" w:color="auto" w:sz="4" w:space="0"/>
            </w:tcBorders>
            <w:noWrap/>
            <w:vAlign w:val="center"/>
          </w:tcPr>
          <w:p w14:paraId="455A4058">
            <w:pPr>
              <w:adjustRightInd w:val="0"/>
              <w:snapToGrid w:val="0"/>
              <w:rPr>
                <w:rFonts w:ascii="仿宋" w:hAnsi="仿宋" w:eastAsia="仿宋" w:cs="仿宋"/>
                <w:sz w:val="24"/>
              </w:rPr>
            </w:pPr>
            <w:r>
              <w:rPr>
                <w:rFonts w:hint="eastAsia" w:ascii="仿宋" w:hAnsi="仿宋" w:eastAsia="仿宋" w:cs="仿宋"/>
                <w:sz w:val="24"/>
              </w:rPr>
              <w:t>4.1学生评价</w:t>
            </w:r>
          </w:p>
        </w:tc>
        <w:tc>
          <w:tcPr>
            <w:tcW w:w="3360" w:type="pct"/>
            <w:tcBorders>
              <w:top w:val="single" w:color="auto" w:sz="4" w:space="0"/>
              <w:left w:val="single" w:color="auto" w:sz="4" w:space="0"/>
              <w:bottom w:val="single" w:color="auto" w:sz="4" w:space="0"/>
              <w:right w:val="single" w:color="auto" w:sz="4" w:space="0"/>
            </w:tcBorders>
            <w:noWrap/>
            <w:vAlign w:val="center"/>
          </w:tcPr>
          <w:p w14:paraId="412D2830">
            <w:pPr>
              <w:adjustRightInd w:val="0"/>
              <w:snapToGrid w:val="0"/>
              <w:rPr>
                <w:rFonts w:ascii="仿宋" w:hAnsi="仿宋" w:eastAsia="仿宋" w:cs="仿宋"/>
                <w:sz w:val="24"/>
              </w:rPr>
            </w:pPr>
            <w:r>
              <w:rPr>
                <w:rFonts w:hint="eastAsia" w:ascii="仿宋" w:hAnsi="仿宋" w:eastAsia="仿宋" w:cs="仿宋"/>
                <w:sz w:val="24"/>
              </w:rPr>
              <w:t>学生对所有任课教师师德师风评价高，学习满意度高，评教效果好，学生平均满意度不低于80%，无合格及以下评价。</w:t>
            </w:r>
          </w:p>
        </w:tc>
      </w:tr>
      <w:tr w14:paraId="428C4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737" w:type="pct"/>
            <w:vMerge w:val="continue"/>
            <w:tcBorders>
              <w:top w:val="single" w:color="auto" w:sz="4" w:space="0"/>
              <w:left w:val="single" w:color="auto" w:sz="4" w:space="0"/>
              <w:bottom w:val="single" w:color="auto" w:sz="4" w:space="0"/>
              <w:right w:val="single" w:color="auto" w:sz="4" w:space="0"/>
            </w:tcBorders>
            <w:noWrap/>
            <w:vAlign w:val="center"/>
          </w:tcPr>
          <w:p w14:paraId="27CAC23F">
            <w:pPr>
              <w:widowControl/>
              <w:adjustRightInd w:val="0"/>
              <w:snapToGrid w:val="0"/>
              <w:jc w:val="left"/>
              <w:rPr>
                <w:rFonts w:ascii="仿宋" w:hAnsi="仿宋" w:eastAsia="仿宋" w:cs="仿宋"/>
                <w:sz w:val="24"/>
              </w:rPr>
            </w:pPr>
          </w:p>
        </w:tc>
        <w:tc>
          <w:tcPr>
            <w:tcW w:w="903" w:type="pct"/>
            <w:tcBorders>
              <w:top w:val="single" w:color="auto" w:sz="4" w:space="0"/>
              <w:left w:val="single" w:color="auto" w:sz="4" w:space="0"/>
              <w:bottom w:val="single" w:color="auto" w:sz="4" w:space="0"/>
              <w:right w:val="single" w:color="auto" w:sz="4" w:space="0"/>
            </w:tcBorders>
            <w:noWrap/>
            <w:vAlign w:val="center"/>
          </w:tcPr>
          <w:p w14:paraId="03E79F68">
            <w:pPr>
              <w:adjustRightInd w:val="0"/>
              <w:snapToGrid w:val="0"/>
              <w:rPr>
                <w:rFonts w:ascii="仿宋" w:hAnsi="仿宋" w:eastAsia="仿宋" w:cs="仿宋"/>
                <w:sz w:val="24"/>
              </w:rPr>
            </w:pPr>
            <w:r>
              <w:rPr>
                <w:rFonts w:hint="eastAsia" w:ascii="仿宋" w:hAnsi="仿宋" w:eastAsia="仿宋" w:cs="仿宋"/>
                <w:sz w:val="24"/>
              </w:rPr>
              <w:t>4.2同行评价</w:t>
            </w:r>
          </w:p>
        </w:tc>
        <w:tc>
          <w:tcPr>
            <w:tcW w:w="3360" w:type="pct"/>
            <w:tcBorders>
              <w:top w:val="single" w:color="auto" w:sz="4" w:space="0"/>
              <w:left w:val="single" w:color="auto" w:sz="4" w:space="0"/>
              <w:bottom w:val="single" w:color="auto" w:sz="4" w:space="0"/>
              <w:right w:val="single" w:color="auto" w:sz="4" w:space="0"/>
            </w:tcBorders>
            <w:noWrap/>
            <w:vAlign w:val="center"/>
          </w:tcPr>
          <w:p w14:paraId="652DC7F9">
            <w:pPr>
              <w:adjustRightInd w:val="0"/>
              <w:snapToGrid w:val="0"/>
              <w:rPr>
                <w:rFonts w:ascii="仿宋" w:hAnsi="仿宋" w:eastAsia="仿宋" w:cs="仿宋"/>
                <w:sz w:val="24"/>
              </w:rPr>
            </w:pPr>
            <w:r>
              <w:rPr>
                <w:rFonts w:hint="eastAsia" w:ascii="仿宋" w:hAnsi="仿宋" w:eastAsia="仿宋" w:cs="仿宋"/>
                <w:sz w:val="24"/>
              </w:rPr>
              <w:t>课程思政教学理念、方法、手段及实施效果显著，同行认可度高，具有一定的辐射和推广价值。</w:t>
            </w:r>
          </w:p>
        </w:tc>
      </w:tr>
      <w:tr w14:paraId="2BB14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1640" w:type="pct"/>
            <w:gridSpan w:val="2"/>
            <w:tcBorders>
              <w:top w:val="single" w:color="auto" w:sz="4" w:space="0"/>
              <w:left w:val="single" w:color="auto" w:sz="4" w:space="0"/>
              <w:bottom w:val="single" w:color="auto" w:sz="4" w:space="0"/>
              <w:right w:val="single" w:color="auto" w:sz="4" w:space="0"/>
            </w:tcBorders>
            <w:noWrap/>
            <w:vAlign w:val="center"/>
          </w:tcPr>
          <w:p w14:paraId="77AB6326">
            <w:pPr>
              <w:adjustRightInd w:val="0"/>
              <w:snapToGrid w:val="0"/>
              <w:jc w:val="center"/>
              <w:rPr>
                <w:rFonts w:ascii="仿宋" w:hAnsi="仿宋" w:eastAsia="仿宋" w:cs="仿宋"/>
                <w:sz w:val="24"/>
              </w:rPr>
            </w:pPr>
            <w:r>
              <w:rPr>
                <w:rFonts w:hint="eastAsia" w:ascii="仿宋" w:hAnsi="仿宋" w:eastAsia="仿宋" w:cs="仿宋"/>
                <w:sz w:val="24"/>
              </w:rPr>
              <w:t>5.课程思政特色总结及推广</w:t>
            </w:r>
          </w:p>
        </w:tc>
        <w:tc>
          <w:tcPr>
            <w:tcW w:w="3360" w:type="pct"/>
            <w:tcBorders>
              <w:top w:val="single" w:color="auto" w:sz="4" w:space="0"/>
              <w:left w:val="single" w:color="auto" w:sz="4" w:space="0"/>
              <w:bottom w:val="single" w:color="auto" w:sz="4" w:space="0"/>
              <w:right w:val="single" w:color="auto" w:sz="4" w:space="0"/>
            </w:tcBorders>
            <w:noWrap/>
            <w:vAlign w:val="center"/>
          </w:tcPr>
          <w:p w14:paraId="1569D20A">
            <w:pPr>
              <w:adjustRightInd w:val="0"/>
              <w:snapToGrid w:val="0"/>
              <w:rPr>
                <w:rFonts w:ascii="仿宋" w:hAnsi="仿宋" w:eastAsia="仿宋" w:cs="仿宋"/>
                <w:sz w:val="24"/>
              </w:rPr>
            </w:pPr>
            <w:r>
              <w:rPr>
                <w:rFonts w:hint="eastAsia" w:ascii="仿宋" w:hAnsi="仿宋" w:eastAsia="仿宋" w:cs="仿宋"/>
                <w:sz w:val="24"/>
              </w:rPr>
              <w:t>课程改革成效显著，具有示范引领作用，能提供有价值、可推广的典型经验与特色做法，以及体现改革成效的相关材料（含视频、照片、文字等多种形式）。</w:t>
            </w:r>
          </w:p>
        </w:tc>
      </w:tr>
    </w:tbl>
    <w:p w14:paraId="5A08BFE4">
      <w:pPr>
        <w:adjustRightInd w:val="0"/>
        <w:snapToGrid w:val="0"/>
        <w:spacing w:line="360" w:lineRule="auto"/>
        <w:ind w:firstLine="482"/>
        <w:rPr>
          <w:rFonts w:ascii="楷体" w:hAnsi="楷体" w:eastAsia="楷体" w:cs="仿宋"/>
          <w:b/>
          <w:sz w:val="24"/>
        </w:rPr>
      </w:pPr>
    </w:p>
    <w:p w14:paraId="6E15D428">
      <w:pPr>
        <w:widowControl/>
        <w:adjustRightInd w:val="0"/>
        <w:snapToGrid w:val="0"/>
        <w:spacing w:line="360" w:lineRule="auto"/>
        <w:jc w:val="left"/>
        <w:rPr>
          <w:rFonts w:ascii="仿宋" w:hAnsi="仿宋" w:eastAsia="仿宋" w:cs="仿宋"/>
          <w:sz w:val="24"/>
        </w:rPr>
      </w:pPr>
    </w:p>
    <w:p w14:paraId="187BE46A">
      <w:pPr>
        <w:rPr>
          <w:rFonts w:hint="default" w:ascii="方正黑体_GBK" w:hAnsi="仿宋" w:eastAsia="方正黑体_GBK"/>
          <w:sz w:val="32"/>
          <w:szCs w:val="32"/>
          <w:lang w:val="en-US" w:eastAsia="zh-CN"/>
        </w:rPr>
      </w:pPr>
      <w:r>
        <w:rPr>
          <w:rFonts w:ascii="仿宋" w:hAnsi="仿宋" w:eastAsia="仿宋" w:cs="仿宋"/>
          <w:sz w:val="24"/>
        </w:rPr>
        <w:br w:type="page"/>
      </w:r>
      <w:r>
        <w:rPr>
          <w:rFonts w:hint="eastAsia" w:ascii="方正黑体_GBK" w:hAnsi="仿宋" w:eastAsia="方正黑体_GBK"/>
          <w:sz w:val="32"/>
          <w:szCs w:val="32"/>
        </w:rPr>
        <w:t>附件</w:t>
      </w:r>
      <w:r>
        <w:rPr>
          <w:rFonts w:hint="eastAsia" w:ascii="方正黑体_GBK" w:hAnsi="仿宋" w:eastAsia="方正黑体_GBK"/>
          <w:sz w:val="32"/>
          <w:szCs w:val="32"/>
          <w:lang w:val="en-US" w:eastAsia="zh-CN"/>
        </w:rPr>
        <w:t>1-2</w:t>
      </w:r>
    </w:p>
    <w:p w14:paraId="42A819AA">
      <w:pPr>
        <w:adjustRightInd w:val="0"/>
        <w:snapToGrid w:val="0"/>
        <w:spacing w:before="312" w:beforeLines="100" w:line="360" w:lineRule="auto"/>
        <w:jc w:val="center"/>
        <w:rPr>
          <w:rFonts w:ascii="黑体" w:hAnsi="黑体" w:eastAsia="黑体" w:cs="方正黑体_GBK"/>
          <w:b/>
          <w:sz w:val="28"/>
          <w:szCs w:val="28"/>
        </w:rPr>
      </w:pPr>
      <w:r>
        <w:rPr>
          <w:rFonts w:ascii="黑体" w:hAnsi="黑体" w:eastAsia="黑体" w:cs="方正黑体_GBK"/>
          <w:b/>
          <w:sz w:val="28"/>
          <w:szCs w:val="28"/>
        </w:rPr>
        <w:t>江苏海事职业技术学院</w:t>
      </w:r>
      <w:r>
        <w:rPr>
          <w:rFonts w:hint="eastAsia" w:ascii="黑体" w:hAnsi="黑体" w:eastAsia="黑体" w:cs="方正黑体_GBK"/>
          <w:b/>
          <w:sz w:val="28"/>
          <w:szCs w:val="28"/>
        </w:rPr>
        <w:t>校级课程思政建设示范专业遴选标准</w:t>
      </w:r>
    </w:p>
    <w:tbl>
      <w:tblPr>
        <w:tblStyle w:val="2"/>
        <w:tblW w:w="57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1671"/>
        <w:gridCol w:w="6684"/>
      </w:tblGrid>
      <w:tr w14:paraId="1A67A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blHeader/>
          <w:jc w:val="center"/>
        </w:trPr>
        <w:tc>
          <w:tcPr>
            <w:tcW w:w="704" w:type="pct"/>
            <w:tcBorders>
              <w:top w:val="single" w:color="auto" w:sz="4" w:space="0"/>
              <w:left w:val="single" w:color="auto" w:sz="4" w:space="0"/>
              <w:bottom w:val="single" w:color="auto" w:sz="4" w:space="0"/>
              <w:right w:val="single" w:color="auto" w:sz="4" w:space="0"/>
            </w:tcBorders>
            <w:noWrap/>
            <w:vAlign w:val="center"/>
          </w:tcPr>
          <w:p w14:paraId="4EB3ED2B">
            <w:pPr>
              <w:adjustRightInd w:val="0"/>
              <w:snapToGrid w:val="0"/>
              <w:jc w:val="center"/>
              <w:rPr>
                <w:rFonts w:ascii="仿宋" w:hAnsi="仿宋" w:eastAsia="仿宋" w:cs="仿宋"/>
                <w:b/>
                <w:sz w:val="24"/>
              </w:rPr>
            </w:pPr>
            <w:r>
              <w:rPr>
                <w:rFonts w:hint="eastAsia" w:ascii="仿宋" w:hAnsi="仿宋" w:eastAsia="仿宋" w:cs="仿宋"/>
                <w:b/>
                <w:sz w:val="24"/>
              </w:rPr>
              <w:t>一级指标</w:t>
            </w:r>
          </w:p>
        </w:tc>
        <w:tc>
          <w:tcPr>
            <w:tcW w:w="859" w:type="pct"/>
            <w:tcBorders>
              <w:top w:val="single" w:color="auto" w:sz="4" w:space="0"/>
              <w:left w:val="single" w:color="auto" w:sz="4" w:space="0"/>
              <w:bottom w:val="single" w:color="auto" w:sz="4" w:space="0"/>
              <w:right w:val="single" w:color="auto" w:sz="4" w:space="0"/>
            </w:tcBorders>
            <w:noWrap/>
            <w:vAlign w:val="center"/>
          </w:tcPr>
          <w:p w14:paraId="1ABC2EFB">
            <w:pPr>
              <w:adjustRightInd w:val="0"/>
              <w:snapToGrid w:val="0"/>
              <w:jc w:val="center"/>
              <w:rPr>
                <w:rFonts w:ascii="仿宋" w:hAnsi="仿宋" w:eastAsia="仿宋" w:cs="仿宋"/>
                <w:b/>
                <w:sz w:val="24"/>
              </w:rPr>
            </w:pPr>
            <w:r>
              <w:rPr>
                <w:rFonts w:hint="eastAsia" w:ascii="仿宋" w:hAnsi="仿宋" w:eastAsia="仿宋" w:cs="仿宋"/>
                <w:b/>
                <w:sz w:val="24"/>
              </w:rPr>
              <w:t>二级指标</w:t>
            </w:r>
          </w:p>
        </w:tc>
        <w:tc>
          <w:tcPr>
            <w:tcW w:w="3437" w:type="pct"/>
            <w:tcBorders>
              <w:top w:val="single" w:color="auto" w:sz="4" w:space="0"/>
              <w:left w:val="single" w:color="auto" w:sz="4" w:space="0"/>
              <w:bottom w:val="single" w:color="auto" w:sz="4" w:space="0"/>
              <w:right w:val="single" w:color="auto" w:sz="4" w:space="0"/>
            </w:tcBorders>
            <w:noWrap/>
            <w:vAlign w:val="center"/>
          </w:tcPr>
          <w:p w14:paraId="038D2BB6">
            <w:pPr>
              <w:adjustRightInd w:val="0"/>
              <w:snapToGrid w:val="0"/>
              <w:jc w:val="center"/>
              <w:rPr>
                <w:rFonts w:ascii="仿宋" w:hAnsi="仿宋" w:eastAsia="仿宋" w:cs="仿宋"/>
                <w:b/>
                <w:sz w:val="24"/>
              </w:rPr>
            </w:pPr>
            <w:r>
              <w:rPr>
                <w:rFonts w:hint="eastAsia" w:ascii="仿宋" w:hAnsi="仿宋" w:eastAsia="仿宋" w:cs="仿宋"/>
                <w:b/>
                <w:sz w:val="24"/>
              </w:rPr>
              <w:t>指标内涵</w:t>
            </w:r>
          </w:p>
        </w:tc>
      </w:tr>
      <w:tr w14:paraId="60BD8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jc w:val="center"/>
        </w:trPr>
        <w:tc>
          <w:tcPr>
            <w:tcW w:w="704" w:type="pct"/>
            <w:vMerge w:val="restart"/>
            <w:tcBorders>
              <w:top w:val="single" w:color="auto" w:sz="4" w:space="0"/>
              <w:left w:val="single" w:color="auto" w:sz="4" w:space="0"/>
              <w:right w:val="single" w:color="auto" w:sz="4" w:space="0"/>
            </w:tcBorders>
            <w:noWrap/>
            <w:vAlign w:val="center"/>
          </w:tcPr>
          <w:p w14:paraId="094C96E5">
            <w:pPr>
              <w:adjustRightInd w:val="0"/>
              <w:snapToGrid w:val="0"/>
              <w:jc w:val="center"/>
              <w:rPr>
                <w:rFonts w:ascii="仿宋" w:hAnsi="仿宋" w:eastAsia="仿宋" w:cs="仿宋"/>
                <w:sz w:val="24"/>
              </w:rPr>
            </w:pPr>
            <w:r>
              <w:rPr>
                <w:rFonts w:hint="eastAsia" w:ascii="仿宋" w:hAnsi="仿宋" w:eastAsia="仿宋" w:cs="仿宋"/>
                <w:sz w:val="24"/>
              </w:rPr>
              <w:t>1.组织管理</w:t>
            </w:r>
          </w:p>
        </w:tc>
        <w:tc>
          <w:tcPr>
            <w:tcW w:w="859" w:type="pct"/>
            <w:tcBorders>
              <w:top w:val="single" w:color="auto" w:sz="4" w:space="0"/>
              <w:left w:val="single" w:color="auto" w:sz="4" w:space="0"/>
              <w:bottom w:val="single" w:color="auto" w:sz="4" w:space="0"/>
              <w:right w:val="single" w:color="auto" w:sz="4" w:space="0"/>
            </w:tcBorders>
            <w:noWrap/>
            <w:vAlign w:val="center"/>
          </w:tcPr>
          <w:p w14:paraId="616DB3DF">
            <w:pPr>
              <w:adjustRightInd w:val="0"/>
              <w:snapToGrid w:val="0"/>
              <w:jc w:val="left"/>
              <w:rPr>
                <w:rFonts w:ascii="仿宋" w:hAnsi="仿宋" w:eastAsia="仿宋" w:cs="仿宋"/>
                <w:sz w:val="24"/>
              </w:rPr>
            </w:pPr>
            <w:r>
              <w:rPr>
                <w:rFonts w:hint="eastAsia" w:ascii="仿宋" w:hAnsi="仿宋" w:eastAsia="仿宋" w:cs="仿宋"/>
                <w:sz w:val="24"/>
              </w:rPr>
              <w:t>1.1领导责任</w:t>
            </w:r>
          </w:p>
        </w:tc>
        <w:tc>
          <w:tcPr>
            <w:tcW w:w="3437" w:type="pct"/>
            <w:tcBorders>
              <w:top w:val="single" w:color="auto" w:sz="4" w:space="0"/>
              <w:left w:val="single" w:color="auto" w:sz="4" w:space="0"/>
              <w:bottom w:val="single" w:color="auto" w:sz="4" w:space="0"/>
              <w:right w:val="single" w:color="auto" w:sz="4" w:space="0"/>
            </w:tcBorders>
            <w:noWrap/>
            <w:vAlign w:val="center"/>
          </w:tcPr>
          <w:p w14:paraId="123653CB">
            <w:pPr>
              <w:adjustRightInd w:val="0"/>
              <w:snapToGrid w:val="0"/>
              <w:rPr>
                <w:rFonts w:ascii="仿宋" w:hAnsi="仿宋" w:eastAsia="仿宋" w:cs="仿宋"/>
                <w:sz w:val="24"/>
              </w:rPr>
            </w:pPr>
            <w:r>
              <w:rPr>
                <w:rFonts w:hint="eastAsia" w:ascii="仿宋" w:hAnsi="仿宋" w:eastAsia="仿宋" w:cs="仿宋"/>
                <w:sz w:val="24"/>
              </w:rPr>
              <w:t>二级教学单位（直属党支部）会议或党政联席会会每年至少召开2次专题会议，研究课程思政建设工作，会议决议及时落实。</w:t>
            </w:r>
          </w:p>
        </w:tc>
      </w:tr>
      <w:tr w14:paraId="27583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4" w:hRule="atLeast"/>
          <w:jc w:val="center"/>
        </w:trPr>
        <w:tc>
          <w:tcPr>
            <w:tcW w:w="704" w:type="pct"/>
            <w:vMerge w:val="continue"/>
            <w:tcBorders>
              <w:left w:val="single" w:color="auto" w:sz="4" w:space="0"/>
              <w:right w:val="single" w:color="auto" w:sz="4" w:space="0"/>
            </w:tcBorders>
            <w:noWrap/>
            <w:vAlign w:val="center"/>
          </w:tcPr>
          <w:p w14:paraId="276F84DD">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21F43CBE">
            <w:pPr>
              <w:adjustRightInd w:val="0"/>
              <w:snapToGrid w:val="0"/>
              <w:jc w:val="left"/>
              <w:rPr>
                <w:rFonts w:ascii="仿宋" w:hAnsi="仿宋" w:eastAsia="仿宋" w:cs="仿宋"/>
                <w:sz w:val="24"/>
              </w:rPr>
            </w:pPr>
            <w:r>
              <w:rPr>
                <w:rFonts w:hint="eastAsia" w:ascii="仿宋" w:hAnsi="仿宋" w:eastAsia="仿宋" w:cs="仿宋"/>
                <w:sz w:val="24"/>
              </w:rPr>
              <w:t>1.2系统推进</w:t>
            </w:r>
          </w:p>
        </w:tc>
        <w:tc>
          <w:tcPr>
            <w:tcW w:w="3437" w:type="pct"/>
            <w:tcBorders>
              <w:top w:val="single" w:color="auto" w:sz="4" w:space="0"/>
              <w:left w:val="single" w:color="auto" w:sz="4" w:space="0"/>
              <w:bottom w:val="single" w:color="auto" w:sz="4" w:space="0"/>
              <w:right w:val="single" w:color="auto" w:sz="4" w:space="0"/>
            </w:tcBorders>
            <w:noWrap/>
            <w:vAlign w:val="center"/>
          </w:tcPr>
          <w:p w14:paraId="5F3CD364">
            <w:pPr>
              <w:adjustRightInd w:val="0"/>
              <w:snapToGrid w:val="0"/>
              <w:rPr>
                <w:rFonts w:ascii="仿宋" w:hAnsi="仿宋" w:eastAsia="仿宋" w:cs="仿宋"/>
                <w:sz w:val="24"/>
              </w:rPr>
            </w:pPr>
            <w:r>
              <w:rPr>
                <w:rFonts w:hint="eastAsia" w:ascii="仿宋" w:hAnsi="仿宋" w:eastAsia="仿宋" w:cs="仿宋"/>
                <w:sz w:val="24"/>
              </w:rPr>
              <w:t>设立课程思政教学研究和组织实施机构，统筹推进本教学单位课程思政建设，被评为校级思政课程示范课程数不少于2门。</w:t>
            </w:r>
          </w:p>
        </w:tc>
      </w:tr>
      <w:tr w14:paraId="53975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9" w:hRule="atLeast"/>
          <w:jc w:val="center"/>
        </w:trPr>
        <w:tc>
          <w:tcPr>
            <w:tcW w:w="704" w:type="pct"/>
            <w:vMerge w:val="continue"/>
            <w:tcBorders>
              <w:left w:val="single" w:color="auto" w:sz="4" w:space="0"/>
              <w:right w:val="single" w:color="auto" w:sz="4" w:space="0"/>
            </w:tcBorders>
            <w:noWrap/>
            <w:vAlign w:val="center"/>
          </w:tcPr>
          <w:p w14:paraId="05B18C74">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663052E5">
            <w:pPr>
              <w:adjustRightInd w:val="0"/>
              <w:snapToGrid w:val="0"/>
              <w:jc w:val="left"/>
              <w:rPr>
                <w:rFonts w:ascii="仿宋" w:hAnsi="仿宋" w:eastAsia="仿宋" w:cs="仿宋"/>
                <w:sz w:val="24"/>
              </w:rPr>
            </w:pPr>
            <w:r>
              <w:rPr>
                <w:rFonts w:hint="eastAsia" w:ascii="仿宋" w:hAnsi="仿宋" w:eastAsia="仿宋" w:cs="仿宋"/>
                <w:sz w:val="24"/>
              </w:rPr>
              <w:t>1.3工作机制</w:t>
            </w:r>
          </w:p>
        </w:tc>
        <w:tc>
          <w:tcPr>
            <w:tcW w:w="3437" w:type="pct"/>
            <w:tcBorders>
              <w:top w:val="single" w:color="auto" w:sz="4" w:space="0"/>
              <w:left w:val="single" w:color="auto" w:sz="4" w:space="0"/>
              <w:bottom w:val="single" w:color="auto" w:sz="4" w:space="0"/>
              <w:right w:val="single" w:color="auto" w:sz="4" w:space="0"/>
            </w:tcBorders>
            <w:noWrap/>
            <w:vAlign w:val="center"/>
          </w:tcPr>
          <w:p w14:paraId="3176EDEC">
            <w:pPr>
              <w:adjustRightInd w:val="0"/>
              <w:snapToGrid w:val="0"/>
              <w:rPr>
                <w:rFonts w:ascii="仿宋" w:hAnsi="仿宋" w:eastAsia="仿宋" w:cs="仿宋"/>
                <w:sz w:val="24"/>
              </w:rPr>
            </w:pPr>
            <w:r>
              <w:rPr>
                <w:rFonts w:hint="eastAsia" w:ascii="仿宋" w:hAnsi="仿宋" w:eastAsia="仿宋" w:cs="仿宋"/>
                <w:sz w:val="24"/>
              </w:rPr>
              <w:t>出台或修订指导二级教学单位课程思政建设方案等规范性文件；把课程思政建设情况和教学效果作为对专业（课程）中心的工作考核，以及教师教学质量评价、岗位聘用、评优奖励、选拔培训的必要条件；在教学成果奖等各类成果的评选推荐中，突出课程思政要求。</w:t>
            </w:r>
          </w:p>
        </w:tc>
      </w:tr>
      <w:tr w14:paraId="63EBE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jc w:val="center"/>
        </w:trPr>
        <w:tc>
          <w:tcPr>
            <w:tcW w:w="704" w:type="pct"/>
            <w:vMerge w:val="continue"/>
            <w:tcBorders>
              <w:left w:val="single" w:color="auto" w:sz="4" w:space="0"/>
              <w:bottom w:val="single" w:color="auto" w:sz="4" w:space="0"/>
              <w:right w:val="single" w:color="auto" w:sz="4" w:space="0"/>
            </w:tcBorders>
            <w:noWrap/>
            <w:vAlign w:val="center"/>
          </w:tcPr>
          <w:p w14:paraId="33343BA9">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72B816CA">
            <w:pPr>
              <w:adjustRightInd w:val="0"/>
              <w:snapToGrid w:val="0"/>
              <w:jc w:val="left"/>
              <w:rPr>
                <w:rFonts w:ascii="仿宋" w:hAnsi="仿宋" w:eastAsia="仿宋" w:cs="仿宋"/>
                <w:sz w:val="24"/>
              </w:rPr>
            </w:pPr>
            <w:r>
              <w:rPr>
                <w:rFonts w:hint="eastAsia" w:ascii="仿宋" w:hAnsi="仿宋" w:eastAsia="仿宋" w:cs="仿宋"/>
                <w:sz w:val="24"/>
              </w:rPr>
              <w:t>1.4经费保障</w:t>
            </w:r>
          </w:p>
        </w:tc>
        <w:tc>
          <w:tcPr>
            <w:tcW w:w="3437" w:type="pct"/>
            <w:tcBorders>
              <w:top w:val="single" w:color="auto" w:sz="4" w:space="0"/>
              <w:left w:val="single" w:color="auto" w:sz="4" w:space="0"/>
              <w:bottom w:val="single" w:color="auto" w:sz="4" w:space="0"/>
              <w:right w:val="single" w:color="auto" w:sz="4" w:space="0"/>
            </w:tcBorders>
            <w:noWrap/>
            <w:vAlign w:val="center"/>
          </w:tcPr>
          <w:p w14:paraId="459077DB">
            <w:pPr>
              <w:adjustRightInd w:val="0"/>
              <w:snapToGrid w:val="0"/>
              <w:rPr>
                <w:rFonts w:ascii="仿宋" w:hAnsi="仿宋" w:eastAsia="仿宋" w:cs="仿宋"/>
                <w:sz w:val="24"/>
              </w:rPr>
            </w:pPr>
            <w:r>
              <w:rPr>
                <w:rFonts w:hint="eastAsia" w:ascii="仿宋" w:hAnsi="仿宋" w:eastAsia="仿宋" w:cs="仿宋"/>
                <w:sz w:val="24"/>
              </w:rPr>
              <w:t>在二级教学单位基本建设经费中每年安排不少于总额10%专项经费，用于课程思政的教学改革、教师培训、学术交流等。</w:t>
            </w:r>
          </w:p>
        </w:tc>
      </w:tr>
      <w:tr w14:paraId="7B69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704" w:type="pct"/>
            <w:vMerge w:val="restart"/>
            <w:tcBorders>
              <w:top w:val="single" w:color="auto" w:sz="4" w:space="0"/>
              <w:left w:val="single" w:color="auto" w:sz="4" w:space="0"/>
              <w:bottom w:val="single" w:color="auto" w:sz="4" w:space="0"/>
              <w:right w:val="single" w:color="auto" w:sz="4" w:space="0"/>
            </w:tcBorders>
            <w:noWrap/>
            <w:vAlign w:val="center"/>
          </w:tcPr>
          <w:p w14:paraId="2FA2964C">
            <w:pPr>
              <w:adjustRightInd w:val="0"/>
              <w:snapToGrid w:val="0"/>
              <w:jc w:val="center"/>
              <w:rPr>
                <w:rFonts w:ascii="仿宋" w:hAnsi="仿宋" w:eastAsia="仿宋" w:cs="仿宋"/>
                <w:sz w:val="24"/>
              </w:rPr>
            </w:pPr>
            <w:r>
              <w:rPr>
                <w:rFonts w:hint="eastAsia" w:ascii="仿宋" w:hAnsi="仿宋" w:eastAsia="仿宋" w:cs="仿宋"/>
                <w:sz w:val="24"/>
              </w:rPr>
              <w:t>2.培养方案</w:t>
            </w:r>
          </w:p>
        </w:tc>
        <w:tc>
          <w:tcPr>
            <w:tcW w:w="859" w:type="pct"/>
            <w:tcBorders>
              <w:top w:val="single" w:color="auto" w:sz="4" w:space="0"/>
              <w:left w:val="single" w:color="auto" w:sz="4" w:space="0"/>
              <w:bottom w:val="single" w:color="auto" w:sz="4" w:space="0"/>
              <w:right w:val="single" w:color="auto" w:sz="4" w:space="0"/>
            </w:tcBorders>
            <w:noWrap/>
            <w:vAlign w:val="center"/>
          </w:tcPr>
          <w:p w14:paraId="1FFBE83E">
            <w:pPr>
              <w:adjustRightInd w:val="0"/>
              <w:snapToGrid w:val="0"/>
              <w:jc w:val="left"/>
              <w:rPr>
                <w:rFonts w:ascii="仿宋" w:hAnsi="仿宋" w:eastAsia="仿宋" w:cs="仿宋"/>
                <w:sz w:val="24"/>
              </w:rPr>
            </w:pPr>
            <w:r>
              <w:rPr>
                <w:rFonts w:hint="eastAsia" w:ascii="仿宋" w:hAnsi="仿宋" w:eastAsia="仿宋" w:cs="仿宋"/>
                <w:sz w:val="24"/>
              </w:rPr>
              <w:t>2.1培养目标</w:t>
            </w:r>
          </w:p>
        </w:tc>
        <w:tc>
          <w:tcPr>
            <w:tcW w:w="3437" w:type="pct"/>
            <w:tcBorders>
              <w:top w:val="single" w:color="auto" w:sz="4" w:space="0"/>
              <w:left w:val="single" w:color="auto" w:sz="4" w:space="0"/>
              <w:bottom w:val="single" w:color="auto" w:sz="4" w:space="0"/>
              <w:right w:val="single" w:color="auto" w:sz="4" w:space="0"/>
            </w:tcBorders>
            <w:noWrap/>
            <w:vAlign w:val="center"/>
          </w:tcPr>
          <w:p w14:paraId="3C961AA1">
            <w:pPr>
              <w:adjustRightInd w:val="0"/>
              <w:snapToGrid w:val="0"/>
              <w:rPr>
                <w:rFonts w:ascii="仿宋" w:hAnsi="仿宋" w:eastAsia="仿宋" w:cs="仿宋"/>
                <w:sz w:val="24"/>
              </w:rPr>
            </w:pPr>
            <w:r>
              <w:rPr>
                <w:rFonts w:hint="eastAsia" w:ascii="仿宋" w:hAnsi="仿宋" w:eastAsia="仿宋" w:cs="仿宋"/>
                <w:sz w:val="24"/>
              </w:rPr>
              <w:t>结合专业特点，贯彻OBE理念，在人才培养目标、毕业要求中落实课程思政要求，构建科学合理的课程思政教学体系。</w:t>
            </w:r>
          </w:p>
        </w:tc>
      </w:tr>
      <w:tr w14:paraId="3E752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704" w:type="pct"/>
            <w:vMerge w:val="continue"/>
            <w:tcBorders>
              <w:top w:val="single" w:color="auto" w:sz="4" w:space="0"/>
              <w:left w:val="single" w:color="auto" w:sz="4" w:space="0"/>
              <w:bottom w:val="single" w:color="auto" w:sz="4" w:space="0"/>
              <w:right w:val="single" w:color="auto" w:sz="4" w:space="0"/>
            </w:tcBorders>
            <w:noWrap/>
            <w:vAlign w:val="center"/>
          </w:tcPr>
          <w:p w14:paraId="47C31DFA">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2281916E">
            <w:pPr>
              <w:adjustRightInd w:val="0"/>
              <w:snapToGrid w:val="0"/>
              <w:jc w:val="left"/>
              <w:rPr>
                <w:rFonts w:ascii="仿宋" w:hAnsi="仿宋" w:eastAsia="仿宋" w:cs="仿宋"/>
                <w:sz w:val="24"/>
              </w:rPr>
            </w:pPr>
            <w:r>
              <w:rPr>
                <w:rFonts w:hint="eastAsia" w:ascii="仿宋" w:hAnsi="仿宋" w:eastAsia="仿宋" w:cs="仿宋"/>
                <w:sz w:val="24"/>
              </w:rPr>
              <w:t>2.2课程体系</w:t>
            </w:r>
          </w:p>
        </w:tc>
        <w:tc>
          <w:tcPr>
            <w:tcW w:w="3437" w:type="pct"/>
            <w:tcBorders>
              <w:top w:val="single" w:color="auto" w:sz="4" w:space="0"/>
              <w:left w:val="single" w:color="auto" w:sz="4" w:space="0"/>
              <w:bottom w:val="single" w:color="auto" w:sz="4" w:space="0"/>
              <w:right w:val="single" w:color="auto" w:sz="4" w:space="0"/>
            </w:tcBorders>
            <w:noWrap/>
            <w:vAlign w:val="center"/>
          </w:tcPr>
          <w:p w14:paraId="57C30046">
            <w:pPr>
              <w:adjustRightInd w:val="0"/>
              <w:snapToGrid w:val="0"/>
              <w:rPr>
                <w:rFonts w:ascii="仿宋" w:hAnsi="仿宋" w:eastAsia="仿宋" w:cs="仿宋"/>
                <w:sz w:val="24"/>
              </w:rPr>
            </w:pPr>
            <w:r>
              <w:rPr>
                <w:rFonts w:hint="eastAsia" w:ascii="仿宋" w:hAnsi="仿宋" w:eastAsia="仿宋" w:cs="仿宋"/>
                <w:sz w:val="24"/>
              </w:rPr>
              <w:t>课程体系设计科学合理，符合学科专业和课程思政教育规律，坚持知识传授、能力培养和价值引领相统一，建立课程育人目标与专业育人目标的支撑、映射关系。</w:t>
            </w:r>
          </w:p>
        </w:tc>
      </w:tr>
      <w:tr w14:paraId="7A66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jc w:val="center"/>
        </w:trPr>
        <w:tc>
          <w:tcPr>
            <w:tcW w:w="704" w:type="pct"/>
            <w:vMerge w:val="continue"/>
            <w:tcBorders>
              <w:top w:val="single" w:color="auto" w:sz="4" w:space="0"/>
              <w:left w:val="single" w:color="auto" w:sz="4" w:space="0"/>
              <w:bottom w:val="single" w:color="auto" w:sz="4" w:space="0"/>
              <w:right w:val="single" w:color="auto" w:sz="4" w:space="0"/>
            </w:tcBorders>
            <w:noWrap/>
            <w:vAlign w:val="center"/>
          </w:tcPr>
          <w:p w14:paraId="0B22CFAE">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637B607A">
            <w:pPr>
              <w:adjustRightInd w:val="0"/>
              <w:snapToGrid w:val="0"/>
              <w:jc w:val="left"/>
              <w:rPr>
                <w:rFonts w:ascii="仿宋" w:hAnsi="仿宋" w:eastAsia="仿宋" w:cs="仿宋"/>
                <w:sz w:val="24"/>
              </w:rPr>
            </w:pPr>
            <w:r>
              <w:rPr>
                <w:rFonts w:hint="eastAsia" w:ascii="仿宋" w:hAnsi="仿宋" w:eastAsia="仿宋" w:cs="仿宋"/>
                <w:sz w:val="24"/>
              </w:rPr>
              <w:t>3.3教学大纲</w:t>
            </w:r>
          </w:p>
        </w:tc>
        <w:tc>
          <w:tcPr>
            <w:tcW w:w="3437" w:type="pct"/>
            <w:tcBorders>
              <w:top w:val="single" w:color="auto" w:sz="4" w:space="0"/>
              <w:left w:val="single" w:color="auto" w:sz="4" w:space="0"/>
              <w:bottom w:val="single" w:color="auto" w:sz="4" w:space="0"/>
              <w:right w:val="single" w:color="auto" w:sz="4" w:space="0"/>
            </w:tcBorders>
            <w:noWrap/>
            <w:vAlign w:val="center"/>
          </w:tcPr>
          <w:p w14:paraId="75502D05">
            <w:pPr>
              <w:adjustRightInd w:val="0"/>
              <w:snapToGrid w:val="0"/>
              <w:rPr>
                <w:rFonts w:ascii="仿宋" w:hAnsi="仿宋" w:eastAsia="仿宋" w:cs="仿宋"/>
                <w:sz w:val="24"/>
              </w:rPr>
            </w:pPr>
            <w:r>
              <w:rPr>
                <w:rFonts w:hint="eastAsia" w:ascii="仿宋" w:hAnsi="仿宋" w:eastAsia="仿宋" w:cs="仿宋"/>
                <w:sz w:val="24"/>
              </w:rPr>
              <w:t>完善和修订课程教学大纲，在教学目标、教学内容、教学设计和课程考核各方面均有体现思政元素。</w:t>
            </w:r>
          </w:p>
        </w:tc>
      </w:tr>
      <w:tr w14:paraId="388EF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704" w:type="pct"/>
            <w:vMerge w:val="restart"/>
            <w:tcBorders>
              <w:top w:val="single" w:color="auto" w:sz="4" w:space="0"/>
              <w:left w:val="single" w:color="auto" w:sz="4" w:space="0"/>
              <w:bottom w:val="single" w:color="auto" w:sz="4" w:space="0"/>
              <w:right w:val="single" w:color="auto" w:sz="4" w:space="0"/>
            </w:tcBorders>
            <w:noWrap/>
            <w:vAlign w:val="center"/>
          </w:tcPr>
          <w:p w14:paraId="37E4FE30">
            <w:pPr>
              <w:adjustRightInd w:val="0"/>
              <w:snapToGrid w:val="0"/>
              <w:jc w:val="center"/>
              <w:rPr>
                <w:rFonts w:ascii="仿宋" w:hAnsi="仿宋" w:eastAsia="仿宋" w:cs="仿宋"/>
                <w:sz w:val="24"/>
              </w:rPr>
            </w:pPr>
            <w:r>
              <w:rPr>
                <w:rFonts w:hint="eastAsia" w:ascii="仿宋" w:hAnsi="仿宋" w:eastAsia="仿宋" w:cs="仿宋"/>
                <w:sz w:val="24"/>
              </w:rPr>
              <w:t>3.课程教材建设</w:t>
            </w:r>
          </w:p>
        </w:tc>
        <w:tc>
          <w:tcPr>
            <w:tcW w:w="859" w:type="pct"/>
            <w:tcBorders>
              <w:top w:val="single" w:color="auto" w:sz="4" w:space="0"/>
              <w:left w:val="single" w:color="auto" w:sz="4" w:space="0"/>
              <w:bottom w:val="single" w:color="auto" w:sz="4" w:space="0"/>
              <w:right w:val="single" w:color="auto" w:sz="4" w:space="0"/>
            </w:tcBorders>
            <w:noWrap/>
            <w:vAlign w:val="center"/>
          </w:tcPr>
          <w:p w14:paraId="2B6687BC">
            <w:pPr>
              <w:adjustRightInd w:val="0"/>
              <w:snapToGrid w:val="0"/>
              <w:jc w:val="left"/>
              <w:rPr>
                <w:rFonts w:ascii="仿宋" w:hAnsi="仿宋" w:eastAsia="仿宋" w:cs="仿宋"/>
                <w:sz w:val="24"/>
              </w:rPr>
            </w:pPr>
            <w:r>
              <w:rPr>
                <w:rFonts w:hint="eastAsia" w:ascii="仿宋" w:hAnsi="仿宋" w:eastAsia="仿宋" w:cs="仿宋"/>
                <w:sz w:val="24"/>
              </w:rPr>
              <w:t>3.1公共基础课</w:t>
            </w:r>
          </w:p>
        </w:tc>
        <w:tc>
          <w:tcPr>
            <w:tcW w:w="3437" w:type="pct"/>
            <w:tcBorders>
              <w:top w:val="single" w:color="auto" w:sz="4" w:space="0"/>
              <w:left w:val="single" w:color="auto" w:sz="4" w:space="0"/>
              <w:bottom w:val="single" w:color="auto" w:sz="4" w:space="0"/>
              <w:right w:val="single" w:color="auto" w:sz="4" w:space="0"/>
            </w:tcBorders>
            <w:noWrap/>
            <w:vAlign w:val="center"/>
          </w:tcPr>
          <w:p w14:paraId="48B8D883">
            <w:pPr>
              <w:adjustRightInd w:val="0"/>
              <w:snapToGrid w:val="0"/>
              <w:rPr>
                <w:rFonts w:ascii="仿宋" w:hAnsi="仿宋" w:eastAsia="仿宋" w:cs="仿宋"/>
                <w:sz w:val="24"/>
              </w:rPr>
            </w:pPr>
            <w:r>
              <w:rPr>
                <w:rFonts w:hint="eastAsia" w:ascii="仿宋" w:hAnsi="仿宋" w:eastAsia="仿宋" w:cs="仿宋"/>
                <w:sz w:val="24"/>
              </w:rPr>
              <w:t>公共基础课应充分发挥厚植爱国情怀、加强品德修养、坚定理想信念和提升综合素质的核心作用。</w:t>
            </w:r>
          </w:p>
        </w:tc>
      </w:tr>
      <w:tr w14:paraId="191B3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9" w:hRule="atLeast"/>
          <w:jc w:val="center"/>
        </w:trPr>
        <w:tc>
          <w:tcPr>
            <w:tcW w:w="704" w:type="pct"/>
            <w:vMerge w:val="continue"/>
            <w:tcBorders>
              <w:top w:val="single" w:color="auto" w:sz="4" w:space="0"/>
              <w:left w:val="single" w:color="auto" w:sz="4" w:space="0"/>
              <w:bottom w:val="single" w:color="auto" w:sz="4" w:space="0"/>
              <w:right w:val="single" w:color="auto" w:sz="4" w:space="0"/>
            </w:tcBorders>
            <w:noWrap/>
            <w:vAlign w:val="center"/>
          </w:tcPr>
          <w:p w14:paraId="132BF262">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77668B7E">
            <w:pPr>
              <w:adjustRightInd w:val="0"/>
              <w:snapToGrid w:val="0"/>
              <w:jc w:val="left"/>
              <w:rPr>
                <w:rFonts w:ascii="仿宋" w:hAnsi="仿宋" w:eastAsia="仿宋" w:cs="仿宋"/>
                <w:sz w:val="24"/>
              </w:rPr>
            </w:pPr>
            <w:r>
              <w:rPr>
                <w:rFonts w:hint="eastAsia" w:ascii="仿宋" w:hAnsi="仿宋" w:eastAsia="仿宋" w:cs="仿宋"/>
                <w:sz w:val="24"/>
              </w:rPr>
              <w:t>3.2专业教育课</w:t>
            </w:r>
          </w:p>
        </w:tc>
        <w:tc>
          <w:tcPr>
            <w:tcW w:w="3437" w:type="pct"/>
            <w:tcBorders>
              <w:top w:val="single" w:color="auto" w:sz="4" w:space="0"/>
              <w:left w:val="single" w:color="auto" w:sz="4" w:space="0"/>
              <w:bottom w:val="single" w:color="auto" w:sz="4" w:space="0"/>
              <w:right w:val="single" w:color="auto" w:sz="4" w:space="0"/>
            </w:tcBorders>
            <w:noWrap/>
            <w:vAlign w:val="center"/>
          </w:tcPr>
          <w:p w14:paraId="2603FC23">
            <w:pPr>
              <w:adjustRightInd w:val="0"/>
              <w:snapToGrid w:val="0"/>
              <w:rPr>
                <w:rFonts w:ascii="仿宋" w:hAnsi="仿宋" w:eastAsia="仿宋" w:cs="仿宋"/>
                <w:sz w:val="24"/>
              </w:rPr>
            </w:pPr>
            <w:r>
              <w:rPr>
                <w:rFonts w:hint="eastAsia" w:ascii="仿宋" w:hAnsi="仿宋" w:eastAsia="仿宋" w:cs="仿宋"/>
                <w:sz w:val="24"/>
              </w:rPr>
              <w:t>根据本专业课程思政目标，深度挖掘提炼专业教育课程中所蕴含的思想价值和精神内涵，梳理出所有专业教育课的课程思政建设指标。</w:t>
            </w:r>
          </w:p>
        </w:tc>
      </w:tr>
      <w:tr w14:paraId="079F4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04" w:type="pct"/>
            <w:vMerge w:val="continue"/>
            <w:tcBorders>
              <w:top w:val="single" w:color="auto" w:sz="4" w:space="0"/>
              <w:left w:val="single" w:color="auto" w:sz="4" w:space="0"/>
              <w:bottom w:val="single" w:color="auto" w:sz="4" w:space="0"/>
              <w:right w:val="single" w:color="auto" w:sz="4" w:space="0"/>
            </w:tcBorders>
            <w:noWrap/>
            <w:vAlign w:val="center"/>
          </w:tcPr>
          <w:p w14:paraId="586D1D8F">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5E0D1779">
            <w:pPr>
              <w:adjustRightInd w:val="0"/>
              <w:snapToGrid w:val="0"/>
              <w:jc w:val="left"/>
              <w:rPr>
                <w:rFonts w:ascii="仿宋" w:hAnsi="仿宋" w:eastAsia="仿宋" w:cs="仿宋"/>
                <w:sz w:val="24"/>
              </w:rPr>
            </w:pPr>
            <w:r>
              <w:rPr>
                <w:rFonts w:hint="eastAsia" w:ascii="仿宋" w:hAnsi="仿宋" w:eastAsia="仿宋" w:cs="仿宋"/>
                <w:sz w:val="24"/>
              </w:rPr>
              <w:t>3.3实践类课程</w:t>
            </w:r>
          </w:p>
        </w:tc>
        <w:tc>
          <w:tcPr>
            <w:tcW w:w="3437" w:type="pct"/>
            <w:tcBorders>
              <w:top w:val="single" w:color="auto" w:sz="4" w:space="0"/>
              <w:left w:val="single" w:color="auto" w:sz="4" w:space="0"/>
              <w:bottom w:val="single" w:color="auto" w:sz="4" w:space="0"/>
              <w:right w:val="single" w:color="auto" w:sz="4" w:space="0"/>
            </w:tcBorders>
            <w:noWrap/>
            <w:vAlign w:val="center"/>
          </w:tcPr>
          <w:p w14:paraId="1A9B18D8">
            <w:pPr>
              <w:adjustRightInd w:val="0"/>
              <w:snapToGrid w:val="0"/>
              <w:rPr>
                <w:rFonts w:ascii="仿宋" w:hAnsi="仿宋" w:eastAsia="仿宋" w:cs="仿宋"/>
                <w:sz w:val="24"/>
              </w:rPr>
            </w:pPr>
            <w:r>
              <w:rPr>
                <w:rFonts w:hint="eastAsia" w:ascii="仿宋" w:hAnsi="仿宋" w:eastAsia="仿宋" w:cs="仿宋"/>
                <w:sz w:val="24"/>
              </w:rPr>
              <w:t>充分将课程思政元素融入实验实习、创新创业、社会实践等实践类课程，弘扬劳动精神、锤炼意志品质。</w:t>
            </w:r>
          </w:p>
        </w:tc>
      </w:tr>
      <w:tr w14:paraId="27FBC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jc w:val="center"/>
        </w:trPr>
        <w:tc>
          <w:tcPr>
            <w:tcW w:w="704" w:type="pct"/>
            <w:vMerge w:val="continue"/>
            <w:tcBorders>
              <w:top w:val="single" w:color="auto" w:sz="4" w:space="0"/>
              <w:left w:val="single" w:color="auto" w:sz="4" w:space="0"/>
              <w:bottom w:val="single" w:color="auto" w:sz="4" w:space="0"/>
              <w:right w:val="single" w:color="auto" w:sz="4" w:space="0"/>
            </w:tcBorders>
            <w:noWrap/>
            <w:vAlign w:val="center"/>
          </w:tcPr>
          <w:p w14:paraId="2062BD70">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25EED849">
            <w:pPr>
              <w:widowControl/>
              <w:adjustRightInd w:val="0"/>
              <w:snapToGrid w:val="0"/>
              <w:jc w:val="left"/>
              <w:rPr>
                <w:rFonts w:ascii="仿宋" w:hAnsi="仿宋" w:eastAsia="仿宋" w:cs="仿宋"/>
                <w:sz w:val="24"/>
              </w:rPr>
            </w:pPr>
            <w:r>
              <w:rPr>
                <w:rFonts w:hint="eastAsia" w:ascii="仿宋" w:hAnsi="仿宋" w:eastAsia="仿宋" w:cs="仿宋"/>
                <w:sz w:val="24"/>
              </w:rPr>
              <w:t>3.4思政课教师协同</w:t>
            </w:r>
          </w:p>
        </w:tc>
        <w:tc>
          <w:tcPr>
            <w:tcW w:w="3437" w:type="pct"/>
            <w:tcBorders>
              <w:top w:val="single" w:color="auto" w:sz="4" w:space="0"/>
              <w:left w:val="single" w:color="auto" w:sz="4" w:space="0"/>
              <w:bottom w:val="single" w:color="auto" w:sz="4" w:space="0"/>
              <w:right w:val="single" w:color="auto" w:sz="4" w:space="0"/>
            </w:tcBorders>
            <w:noWrap/>
            <w:vAlign w:val="center"/>
          </w:tcPr>
          <w:p w14:paraId="0B3FF21A">
            <w:pPr>
              <w:adjustRightInd w:val="0"/>
              <w:snapToGrid w:val="0"/>
              <w:rPr>
                <w:rFonts w:ascii="仿宋" w:hAnsi="仿宋" w:eastAsia="仿宋" w:cs="仿宋"/>
                <w:sz w:val="24"/>
              </w:rPr>
            </w:pPr>
            <w:r>
              <w:rPr>
                <w:rFonts w:hint="eastAsia" w:ascii="仿宋" w:hAnsi="仿宋" w:eastAsia="仿宋" w:cs="仿宋"/>
                <w:sz w:val="24"/>
              </w:rPr>
              <w:t>思政课教师与专业、专业课教师结对，参与人才培养方案修订，参加课程团队教研活动不少于10次，积极参与课程团队建设、教学资源建设、课程教学改革中。</w:t>
            </w:r>
          </w:p>
        </w:tc>
      </w:tr>
      <w:tr w14:paraId="21031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04" w:type="pct"/>
            <w:vMerge w:val="restart"/>
            <w:tcBorders>
              <w:top w:val="single" w:color="auto" w:sz="4" w:space="0"/>
              <w:left w:val="single" w:color="auto" w:sz="4" w:space="0"/>
              <w:right w:val="single" w:color="auto" w:sz="4" w:space="0"/>
            </w:tcBorders>
            <w:noWrap/>
            <w:vAlign w:val="center"/>
          </w:tcPr>
          <w:p w14:paraId="7D4738D9">
            <w:pPr>
              <w:adjustRightInd w:val="0"/>
              <w:snapToGrid w:val="0"/>
              <w:jc w:val="center"/>
              <w:rPr>
                <w:rFonts w:ascii="仿宋" w:hAnsi="仿宋" w:eastAsia="仿宋" w:cs="仿宋"/>
                <w:sz w:val="24"/>
              </w:rPr>
            </w:pPr>
            <w:r>
              <w:rPr>
                <w:rFonts w:hint="eastAsia" w:ascii="仿宋" w:hAnsi="仿宋" w:eastAsia="仿宋" w:cs="仿宋"/>
                <w:sz w:val="24"/>
              </w:rPr>
              <w:t>4.教学改革</w:t>
            </w:r>
          </w:p>
        </w:tc>
        <w:tc>
          <w:tcPr>
            <w:tcW w:w="859" w:type="pct"/>
            <w:tcBorders>
              <w:top w:val="single" w:color="auto" w:sz="4" w:space="0"/>
              <w:left w:val="single" w:color="auto" w:sz="4" w:space="0"/>
              <w:bottom w:val="single" w:color="auto" w:sz="4" w:space="0"/>
              <w:right w:val="single" w:color="auto" w:sz="4" w:space="0"/>
            </w:tcBorders>
            <w:noWrap/>
            <w:vAlign w:val="center"/>
          </w:tcPr>
          <w:p w14:paraId="4FD4769D">
            <w:pPr>
              <w:adjustRightInd w:val="0"/>
              <w:snapToGrid w:val="0"/>
              <w:jc w:val="left"/>
              <w:rPr>
                <w:rFonts w:ascii="仿宋" w:hAnsi="仿宋" w:eastAsia="仿宋" w:cs="仿宋"/>
                <w:sz w:val="24"/>
              </w:rPr>
            </w:pPr>
            <w:r>
              <w:rPr>
                <w:rFonts w:hint="eastAsia" w:ascii="仿宋" w:hAnsi="仿宋" w:eastAsia="仿宋" w:cs="仿宋"/>
                <w:sz w:val="24"/>
              </w:rPr>
              <w:t>4.1示范课程建设</w:t>
            </w:r>
          </w:p>
        </w:tc>
        <w:tc>
          <w:tcPr>
            <w:tcW w:w="3437" w:type="pct"/>
            <w:tcBorders>
              <w:top w:val="single" w:color="auto" w:sz="4" w:space="0"/>
              <w:left w:val="single" w:color="auto" w:sz="4" w:space="0"/>
              <w:bottom w:val="single" w:color="auto" w:sz="4" w:space="0"/>
              <w:right w:val="single" w:color="auto" w:sz="4" w:space="0"/>
            </w:tcBorders>
            <w:noWrap/>
            <w:vAlign w:val="center"/>
          </w:tcPr>
          <w:p w14:paraId="4518B11C">
            <w:pPr>
              <w:adjustRightInd w:val="0"/>
              <w:snapToGrid w:val="0"/>
              <w:rPr>
                <w:rFonts w:ascii="仿宋" w:hAnsi="仿宋" w:eastAsia="仿宋" w:cs="仿宋"/>
                <w:sz w:val="24"/>
              </w:rPr>
            </w:pPr>
            <w:r>
              <w:rPr>
                <w:rFonts w:hint="eastAsia" w:ascii="仿宋" w:hAnsi="仿宋" w:eastAsia="仿宋" w:cs="仿宋"/>
                <w:sz w:val="24"/>
              </w:rPr>
              <w:t>按本单位课程思政建设方案有序推进课程思政建设任务，符合学校总体建设进度要求。建成1-2门通识类课程思政示范课程、3-5门专业教育类课程思政示范课程、1-2门实践类课程思政示范课程。</w:t>
            </w:r>
          </w:p>
        </w:tc>
      </w:tr>
      <w:tr w14:paraId="1BC40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04" w:type="pct"/>
            <w:vMerge w:val="continue"/>
            <w:tcBorders>
              <w:left w:val="single" w:color="auto" w:sz="4" w:space="0"/>
              <w:right w:val="single" w:color="auto" w:sz="4" w:space="0"/>
            </w:tcBorders>
            <w:noWrap/>
            <w:vAlign w:val="center"/>
          </w:tcPr>
          <w:p w14:paraId="37EC03E3">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4A23D572">
            <w:pPr>
              <w:adjustRightInd w:val="0"/>
              <w:snapToGrid w:val="0"/>
              <w:jc w:val="left"/>
              <w:rPr>
                <w:rFonts w:ascii="仿宋" w:hAnsi="仿宋" w:eastAsia="仿宋" w:cs="仿宋"/>
                <w:sz w:val="24"/>
              </w:rPr>
            </w:pPr>
            <w:r>
              <w:rPr>
                <w:rFonts w:hint="eastAsia" w:ascii="仿宋" w:hAnsi="仿宋" w:eastAsia="仿宋" w:cs="仿宋"/>
                <w:sz w:val="24"/>
              </w:rPr>
              <w:t>4.2重点教材与资源建设</w:t>
            </w:r>
          </w:p>
        </w:tc>
        <w:tc>
          <w:tcPr>
            <w:tcW w:w="3437" w:type="pct"/>
            <w:tcBorders>
              <w:top w:val="single" w:color="auto" w:sz="4" w:space="0"/>
              <w:left w:val="single" w:color="auto" w:sz="4" w:space="0"/>
              <w:bottom w:val="single" w:color="auto" w:sz="4" w:space="0"/>
              <w:right w:val="single" w:color="auto" w:sz="4" w:space="0"/>
            </w:tcBorders>
            <w:noWrap/>
            <w:vAlign w:val="center"/>
          </w:tcPr>
          <w:p w14:paraId="23F94E2B">
            <w:pPr>
              <w:adjustRightInd w:val="0"/>
              <w:snapToGrid w:val="0"/>
              <w:rPr>
                <w:rFonts w:ascii="仿宋" w:hAnsi="仿宋" w:eastAsia="仿宋" w:cs="仿宋"/>
                <w:sz w:val="24"/>
              </w:rPr>
            </w:pPr>
            <w:r>
              <w:rPr>
                <w:rFonts w:hint="eastAsia" w:ascii="仿宋" w:hAnsi="仿宋" w:eastAsia="仿宋" w:cs="仿宋"/>
                <w:sz w:val="24"/>
              </w:rPr>
              <w:t>严格落实马工程教材统一使用规定，马工程教材使用率达到100%；建设2-4本校级课程思政重点教材或教学指导用书；建有1-2门融入思政元素的在线开放课程并常态会开展线上线下混合式教学。</w:t>
            </w:r>
          </w:p>
        </w:tc>
      </w:tr>
      <w:tr w14:paraId="3B9D1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04" w:type="pct"/>
            <w:vMerge w:val="continue"/>
            <w:tcBorders>
              <w:left w:val="single" w:color="auto" w:sz="4" w:space="0"/>
              <w:right w:val="single" w:color="auto" w:sz="4" w:space="0"/>
            </w:tcBorders>
            <w:noWrap/>
            <w:vAlign w:val="center"/>
          </w:tcPr>
          <w:p w14:paraId="3A307F7B">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5D81513C">
            <w:pPr>
              <w:adjustRightInd w:val="0"/>
              <w:snapToGrid w:val="0"/>
              <w:jc w:val="left"/>
              <w:rPr>
                <w:rFonts w:ascii="仿宋" w:hAnsi="仿宋" w:eastAsia="仿宋" w:cs="仿宋"/>
                <w:sz w:val="24"/>
              </w:rPr>
            </w:pPr>
            <w:r>
              <w:rPr>
                <w:rFonts w:hint="eastAsia" w:ascii="仿宋" w:hAnsi="仿宋" w:eastAsia="仿宋" w:cs="仿宋"/>
                <w:sz w:val="24"/>
              </w:rPr>
              <w:t>4.3教学研究</w:t>
            </w:r>
          </w:p>
        </w:tc>
        <w:tc>
          <w:tcPr>
            <w:tcW w:w="3437" w:type="pct"/>
            <w:tcBorders>
              <w:top w:val="single" w:color="auto" w:sz="4" w:space="0"/>
              <w:left w:val="single" w:color="auto" w:sz="4" w:space="0"/>
              <w:bottom w:val="single" w:color="auto" w:sz="4" w:space="0"/>
              <w:right w:val="single" w:color="auto" w:sz="4" w:space="0"/>
            </w:tcBorders>
            <w:noWrap/>
            <w:vAlign w:val="center"/>
          </w:tcPr>
          <w:p w14:paraId="550F5847">
            <w:pPr>
              <w:adjustRightInd w:val="0"/>
              <w:snapToGrid w:val="0"/>
              <w:rPr>
                <w:rFonts w:ascii="仿宋" w:hAnsi="仿宋" w:eastAsia="仿宋" w:cs="仿宋"/>
                <w:sz w:val="24"/>
              </w:rPr>
            </w:pPr>
            <w:r>
              <w:rPr>
                <w:rFonts w:hint="eastAsia" w:ascii="仿宋" w:hAnsi="仿宋" w:eastAsia="仿宋" w:cs="仿宋"/>
                <w:sz w:val="24"/>
              </w:rPr>
              <w:t>承担校级及以上课程思政相关教改项目不少于2项，形成示范性强、可推广的专业类课程思政研究与实践成果。</w:t>
            </w:r>
          </w:p>
        </w:tc>
      </w:tr>
      <w:tr w14:paraId="73221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04" w:type="pct"/>
            <w:vMerge w:val="continue"/>
            <w:tcBorders>
              <w:left w:val="single" w:color="auto" w:sz="4" w:space="0"/>
              <w:bottom w:val="single" w:color="auto" w:sz="4" w:space="0"/>
              <w:right w:val="single" w:color="auto" w:sz="4" w:space="0"/>
            </w:tcBorders>
            <w:noWrap/>
            <w:vAlign w:val="center"/>
          </w:tcPr>
          <w:p w14:paraId="5506A270">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15FF03D9">
            <w:pPr>
              <w:adjustRightInd w:val="0"/>
              <w:snapToGrid w:val="0"/>
              <w:jc w:val="left"/>
              <w:rPr>
                <w:rFonts w:ascii="仿宋" w:hAnsi="仿宋" w:eastAsia="仿宋" w:cs="仿宋"/>
                <w:sz w:val="24"/>
              </w:rPr>
            </w:pPr>
            <w:r>
              <w:rPr>
                <w:rFonts w:hint="eastAsia" w:ascii="仿宋" w:hAnsi="仿宋" w:eastAsia="仿宋" w:cs="仿宋"/>
                <w:sz w:val="24"/>
              </w:rPr>
              <w:t>4.4营造氛围</w:t>
            </w:r>
          </w:p>
        </w:tc>
        <w:tc>
          <w:tcPr>
            <w:tcW w:w="3437" w:type="pct"/>
            <w:tcBorders>
              <w:top w:val="single" w:color="auto" w:sz="4" w:space="0"/>
              <w:left w:val="single" w:color="auto" w:sz="4" w:space="0"/>
              <w:bottom w:val="single" w:color="auto" w:sz="4" w:space="0"/>
              <w:right w:val="single" w:color="auto" w:sz="4" w:space="0"/>
            </w:tcBorders>
            <w:noWrap/>
            <w:vAlign w:val="center"/>
          </w:tcPr>
          <w:p w14:paraId="58D783E5">
            <w:pPr>
              <w:adjustRightInd w:val="0"/>
              <w:snapToGrid w:val="0"/>
              <w:rPr>
                <w:rFonts w:ascii="仿宋" w:hAnsi="仿宋" w:eastAsia="仿宋" w:cs="仿宋"/>
                <w:sz w:val="24"/>
              </w:rPr>
            </w:pPr>
            <w:r>
              <w:rPr>
                <w:rFonts w:hint="eastAsia" w:ascii="仿宋" w:hAnsi="仿宋" w:eastAsia="仿宋" w:cs="仿宋"/>
                <w:sz w:val="24"/>
              </w:rPr>
              <w:t>积极开展课程思政示范课堂活动，每年至少组织</w:t>
            </w:r>
            <w:r>
              <w:rPr>
                <w:rFonts w:ascii="仿宋" w:hAnsi="仿宋" w:eastAsia="仿宋" w:cs="仿宋"/>
                <w:sz w:val="24"/>
              </w:rPr>
              <w:t>2</w:t>
            </w:r>
            <w:r>
              <w:rPr>
                <w:rFonts w:hint="eastAsia" w:ascii="仿宋" w:hAnsi="仿宋" w:eastAsia="仿宋" w:cs="仿宋"/>
                <w:sz w:val="24"/>
              </w:rPr>
              <w:t>次本单位教师参加的名师示范课、示范观摩听课等。开展课程思政教学设计、课堂教学等竞赛活动，对获奖教师给予奖励，效果良好。</w:t>
            </w:r>
          </w:p>
        </w:tc>
      </w:tr>
      <w:tr w14:paraId="71747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04" w:type="pct"/>
            <w:vMerge w:val="restart"/>
            <w:tcBorders>
              <w:top w:val="single" w:color="auto" w:sz="4" w:space="0"/>
              <w:left w:val="single" w:color="auto" w:sz="4" w:space="0"/>
              <w:bottom w:val="single" w:color="auto" w:sz="4" w:space="0"/>
              <w:right w:val="single" w:color="auto" w:sz="4" w:space="0"/>
            </w:tcBorders>
            <w:noWrap/>
            <w:vAlign w:val="center"/>
          </w:tcPr>
          <w:p w14:paraId="46166473">
            <w:pPr>
              <w:adjustRightInd w:val="0"/>
              <w:snapToGrid w:val="0"/>
              <w:jc w:val="center"/>
              <w:rPr>
                <w:rFonts w:ascii="仿宋" w:hAnsi="仿宋" w:eastAsia="仿宋" w:cs="仿宋"/>
                <w:sz w:val="24"/>
              </w:rPr>
            </w:pPr>
            <w:r>
              <w:rPr>
                <w:rFonts w:hint="eastAsia" w:ascii="仿宋" w:hAnsi="仿宋" w:eastAsia="仿宋" w:cs="仿宋"/>
                <w:sz w:val="24"/>
              </w:rPr>
              <w:t>5.教师发展与教学成效</w:t>
            </w:r>
          </w:p>
        </w:tc>
        <w:tc>
          <w:tcPr>
            <w:tcW w:w="859" w:type="pct"/>
            <w:tcBorders>
              <w:top w:val="single" w:color="auto" w:sz="4" w:space="0"/>
              <w:left w:val="single" w:color="auto" w:sz="4" w:space="0"/>
              <w:bottom w:val="single" w:color="auto" w:sz="4" w:space="0"/>
              <w:right w:val="single" w:color="auto" w:sz="4" w:space="0"/>
            </w:tcBorders>
            <w:noWrap/>
            <w:vAlign w:val="center"/>
          </w:tcPr>
          <w:p w14:paraId="7951DF32">
            <w:pPr>
              <w:adjustRightInd w:val="0"/>
              <w:snapToGrid w:val="0"/>
              <w:jc w:val="left"/>
              <w:rPr>
                <w:rFonts w:ascii="仿宋" w:hAnsi="仿宋" w:eastAsia="仿宋" w:cs="仿宋"/>
                <w:sz w:val="24"/>
              </w:rPr>
            </w:pPr>
            <w:r>
              <w:rPr>
                <w:rFonts w:hint="eastAsia" w:ascii="仿宋" w:hAnsi="仿宋" w:eastAsia="仿宋" w:cs="仿宋"/>
                <w:sz w:val="24"/>
              </w:rPr>
              <w:t>5.1师德师风</w:t>
            </w:r>
          </w:p>
        </w:tc>
        <w:tc>
          <w:tcPr>
            <w:tcW w:w="3437" w:type="pct"/>
            <w:tcBorders>
              <w:top w:val="single" w:color="auto" w:sz="4" w:space="0"/>
              <w:left w:val="single" w:color="auto" w:sz="4" w:space="0"/>
              <w:bottom w:val="single" w:color="auto" w:sz="4" w:space="0"/>
              <w:right w:val="single" w:color="auto" w:sz="4" w:space="0"/>
            </w:tcBorders>
            <w:noWrap/>
            <w:vAlign w:val="center"/>
          </w:tcPr>
          <w:p w14:paraId="305FE8F4">
            <w:pPr>
              <w:adjustRightInd w:val="0"/>
              <w:snapToGrid w:val="0"/>
              <w:rPr>
                <w:rFonts w:ascii="仿宋" w:hAnsi="仿宋" w:eastAsia="仿宋" w:cs="仿宋"/>
                <w:sz w:val="24"/>
              </w:rPr>
            </w:pPr>
            <w:r>
              <w:rPr>
                <w:rFonts w:hint="eastAsia" w:ascii="仿宋" w:hAnsi="仿宋" w:eastAsia="仿宋" w:cs="仿宋"/>
                <w:sz w:val="24"/>
              </w:rPr>
              <w:t>扎实推进师德师风建设，把师德师风作为评价教师队伍素质的第一标准，模范践行《新时代高校教师职业行为十项准则》，在各类重要考核评价中实施师德师风“一票否决”。</w:t>
            </w:r>
          </w:p>
        </w:tc>
      </w:tr>
      <w:tr w14:paraId="3FE30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04" w:type="pct"/>
            <w:vMerge w:val="continue"/>
            <w:tcBorders>
              <w:top w:val="single" w:color="auto" w:sz="4" w:space="0"/>
              <w:left w:val="single" w:color="auto" w:sz="4" w:space="0"/>
              <w:bottom w:val="single" w:color="auto" w:sz="4" w:space="0"/>
              <w:right w:val="single" w:color="auto" w:sz="4" w:space="0"/>
            </w:tcBorders>
            <w:noWrap/>
            <w:vAlign w:val="center"/>
          </w:tcPr>
          <w:p w14:paraId="38DD9FE5">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4D2245D6">
            <w:pPr>
              <w:adjustRightInd w:val="0"/>
              <w:snapToGrid w:val="0"/>
              <w:jc w:val="left"/>
              <w:rPr>
                <w:rFonts w:ascii="仿宋" w:hAnsi="仿宋" w:eastAsia="仿宋" w:cs="仿宋"/>
                <w:sz w:val="24"/>
              </w:rPr>
            </w:pPr>
            <w:r>
              <w:rPr>
                <w:rFonts w:hint="eastAsia" w:ascii="仿宋" w:hAnsi="仿宋" w:eastAsia="仿宋" w:cs="仿宋"/>
                <w:sz w:val="24"/>
              </w:rPr>
              <w:t>5.2基层教学组织</w:t>
            </w:r>
          </w:p>
        </w:tc>
        <w:tc>
          <w:tcPr>
            <w:tcW w:w="3437" w:type="pct"/>
            <w:tcBorders>
              <w:top w:val="single" w:color="auto" w:sz="4" w:space="0"/>
              <w:left w:val="single" w:color="auto" w:sz="4" w:space="0"/>
              <w:bottom w:val="single" w:color="auto" w:sz="4" w:space="0"/>
              <w:right w:val="single" w:color="auto" w:sz="4" w:space="0"/>
            </w:tcBorders>
            <w:noWrap/>
            <w:vAlign w:val="center"/>
          </w:tcPr>
          <w:p w14:paraId="0475BAF0">
            <w:pPr>
              <w:adjustRightInd w:val="0"/>
              <w:snapToGrid w:val="0"/>
              <w:rPr>
                <w:rFonts w:ascii="仿宋" w:hAnsi="仿宋" w:eastAsia="仿宋" w:cs="仿宋"/>
                <w:sz w:val="24"/>
              </w:rPr>
            </w:pPr>
            <w:r>
              <w:rPr>
                <w:rFonts w:hint="eastAsia" w:ascii="仿宋" w:hAnsi="仿宋" w:eastAsia="仿宋" w:cs="仿宋"/>
                <w:sz w:val="24"/>
              </w:rPr>
              <w:t>建立课程思政集体备课制度，每学期组织教师积极参加课程思政专项教学技能工作坊、教学沙龙等培训活动不少于2次，主办、承办或协办课程思政培训活动，培育并成功立项校级课程思政教学名师和团队各不少于2个。</w:t>
            </w:r>
          </w:p>
        </w:tc>
      </w:tr>
      <w:tr w14:paraId="0711C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04" w:type="pct"/>
            <w:vMerge w:val="continue"/>
            <w:tcBorders>
              <w:top w:val="single" w:color="auto" w:sz="4" w:space="0"/>
              <w:left w:val="single" w:color="auto" w:sz="4" w:space="0"/>
              <w:bottom w:val="single" w:color="auto" w:sz="4" w:space="0"/>
              <w:right w:val="single" w:color="auto" w:sz="4" w:space="0"/>
            </w:tcBorders>
            <w:noWrap/>
            <w:vAlign w:val="center"/>
          </w:tcPr>
          <w:p w14:paraId="4DB0ADA9">
            <w:pPr>
              <w:adjustRightInd w:val="0"/>
              <w:snapToGrid w:val="0"/>
              <w:jc w:val="center"/>
              <w:rPr>
                <w:rFonts w:ascii="仿宋" w:hAnsi="仿宋" w:eastAsia="仿宋" w:cs="仿宋"/>
                <w:sz w:val="24"/>
              </w:rPr>
            </w:pPr>
          </w:p>
        </w:tc>
        <w:tc>
          <w:tcPr>
            <w:tcW w:w="859" w:type="pct"/>
            <w:tcBorders>
              <w:top w:val="single" w:color="auto" w:sz="4" w:space="0"/>
              <w:left w:val="single" w:color="auto" w:sz="4" w:space="0"/>
              <w:bottom w:val="single" w:color="auto" w:sz="4" w:space="0"/>
              <w:right w:val="single" w:color="auto" w:sz="4" w:space="0"/>
            </w:tcBorders>
            <w:noWrap/>
            <w:vAlign w:val="center"/>
          </w:tcPr>
          <w:p w14:paraId="568BF454">
            <w:pPr>
              <w:adjustRightInd w:val="0"/>
              <w:snapToGrid w:val="0"/>
              <w:jc w:val="left"/>
              <w:rPr>
                <w:rFonts w:ascii="仿宋" w:hAnsi="仿宋" w:eastAsia="仿宋" w:cs="仿宋"/>
                <w:sz w:val="24"/>
              </w:rPr>
            </w:pPr>
            <w:r>
              <w:rPr>
                <w:rFonts w:hint="eastAsia" w:ascii="仿宋" w:hAnsi="仿宋" w:eastAsia="仿宋" w:cs="仿宋"/>
                <w:sz w:val="24"/>
              </w:rPr>
              <w:t>5.3教学成效</w:t>
            </w:r>
          </w:p>
        </w:tc>
        <w:tc>
          <w:tcPr>
            <w:tcW w:w="3437" w:type="pct"/>
            <w:tcBorders>
              <w:top w:val="single" w:color="auto" w:sz="4" w:space="0"/>
              <w:left w:val="single" w:color="auto" w:sz="4" w:space="0"/>
              <w:bottom w:val="single" w:color="auto" w:sz="4" w:space="0"/>
              <w:right w:val="single" w:color="auto" w:sz="4" w:space="0"/>
            </w:tcBorders>
            <w:noWrap/>
            <w:vAlign w:val="center"/>
          </w:tcPr>
          <w:p w14:paraId="16A27C89">
            <w:pPr>
              <w:adjustRightInd w:val="0"/>
              <w:snapToGrid w:val="0"/>
              <w:rPr>
                <w:rFonts w:ascii="仿宋" w:hAnsi="仿宋" w:eastAsia="仿宋" w:cs="仿宋"/>
                <w:sz w:val="24"/>
              </w:rPr>
            </w:pPr>
            <w:r>
              <w:rPr>
                <w:rFonts w:hint="eastAsia" w:ascii="仿宋" w:hAnsi="仿宋" w:eastAsia="仿宋" w:cs="仿宋"/>
                <w:sz w:val="24"/>
              </w:rPr>
              <w:t>课程思政工作有效落实到专业所有课程和全体师生。专业教师在师德师风、教书育人、课程思政教学竞赛等方面获得校级以上荣誉或奖励不少于2项。</w:t>
            </w:r>
          </w:p>
        </w:tc>
      </w:tr>
      <w:tr w14:paraId="0C61F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1563" w:type="pct"/>
            <w:gridSpan w:val="2"/>
            <w:tcBorders>
              <w:top w:val="single" w:color="auto" w:sz="4" w:space="0"/>
              <w:left w:val="single" w:color="auto" w:sz="4" w:space="0"/>
              <w:bottom w:val="single" w:color="auto" w:sz="4" w:space="0"/>
              <w:right w:val="single" w:color="auto" w:sz="4" w:space="0"/>
            </w:tcBorders>
            <w:noWrap/>
            <w:vAlign w:val="center"/>
          </w:tcPr>
          <w:p w14:paraId="359501FB">
            <w:pPr>
              <w:adjustRightInd w:val="0"/>
              <w:snapToGrid w:val="0"/>
              <w:jc w:val="center"/>
              <w:rPr>
                <w:rFonts w:ascii="仿宋" w:hAnsi="仿宋" w:eastAsia="仿宋" w:cs="仿宋"/>
                <w:sz w:val="24"/>
              </w:rPr>
            </w:pPr>
            <w:r>
              <w:rPr>
                <w:rFonts w:hint="eastAsia" w:ascii="仿宋" w:hAnsi="仿宋" w:eastAsia="仿宋" w:cs="仿宋"/>
                <w:sz w:val="24"/>
              </w:rPr>
              <w:t>5.专业课程思政特色</w:t>
            </w:r>
          </w:p>
        </w:tc>
        <w:tc>
          <w:tcPr>
            <w:tcW w:w="3437" w:type="pct"/>
            <w:tcBorders>
              <w:top w:val="single" w:color="auto" w:sz="4" w:space="0"/>
              <w:left w:val="single" w:color="auto" w:sz="4" w:space="0"/>
              <w:bottom w:val="single" w:color="auto" w:sz="4" w:space="0"/>
              <w:right w:val="single" w:color="auto" w:sz="4" w:space="0"/>
            </w:tcBorders>
            <w:noWrap/>
            <w:vAlign w:val="center"/>
          </w:tcPr>
          <w:p w14:paraId="421A45A9">
            <w:pPr>
              <w:adjustRightInd w:val="0"/>
              <w:snapToGrid w:val="0"/>
              <w:rPr>
                <w:rFonts w:ascii="仿宋" w:hAnsi="仿宋" w:eastAsia="仿宋" w:cs="仿宋"/>
                <w:sz w:val="24"/>
              </w:rPr>
            </w:pPr>
            <w:r>
              <w:rPr>
                <w:rFonts w:hint="eastAsia" w:ascii="仿宋" w:hAnsi="仿宋" w:eastAsia="仿宋" w:cs="仿宋"/>
                <w:sz w:val="24"/>
              </w:rPr>
              <w:t>总结课程思政教育效果好、学生反响佳的教学案例不少于10个，形成参考性强、推广价值高的校级以上典型案例不少于2项，为提升课程育人效果提供参考借鉴，并积极利用媒体、会议、论文等形式进行推广交流，反响较好。</w:t>
            </w:r>
          </w:p>
        </w:tc>
      </w:tr>
    </w:tbl>
    <w:p w14:paraId="626883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C3720D-06A6-4193-A9AC-54CFD461635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FA3DC82-8123-46B7-AE8A-14241C28B8AC}"/>
  </w:font>
  <w:font w:name="方正黑体_GBK">
    <w:panose1 w:val="02010600010101010101"/>
    <w:charset w:val="86"/>
    <w:family w:val="script"/>
    <w:pitch w:val="default"/>
    <w:sig w:usb0="00000001" w:usb1="080E0000" w:usb2="00000000" w:usb3="00000000" w:csb0="00040000" w:csb1="00000000"/>
    <w:embedRegular r:id="rId3" w:fontKey="{49FE983A-69F5-4097-B2B9-76D205AFA579}"/>
  </w:font>
  <w:font w:name="仿宋">
    <w:panose1 w:val="02010609060101010101"/>
    <w:charset w:val="86"/>
    <w:family w:val="modern"/>
    <w:pitch w:val="default"/>
    <w:sig w:usb0="800002BF" w:usb1="38CF7CFA" w:usb2="00000016" w:usb3="00000000" w:csb0="00040001" w:csb1="00000000"/>
    <w:embedRegular r:id="rId4" w:fontKey="{1826CB04-7586-482B-BFA2-F83BB3766E88}"/>
  </w:font>
  <w:font w:name="楷体">
    <w:panose1 w:val="02010609060101010101"/>
    <w:charset w:val="86"/>
    <w:family w:val="modern"/>
    <w:pitch w:val="default"/>
    <w:sig w:usb0="800002BF" w:usb1="38CF7CFA" w:usb2="00000016" w:usb3="00000000" w:csb0="00040001" w:csb1="00000000"/>
    <w:embedRegular r:id="rId5" w:fontKey="{A4E94CED-11CD-43DE-8A5A-92801AC5D35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2C4EBF"/>
    <w:rsid w:val="69CA7D9D"/>
    <w:rsid w:val="7C2C4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2025-05-06T03:10:00Z</dcterms:created>
  <dc:creator>summer</dc:creator>
  <cp:lastModifiedBy>summer</cp:lastModifiedBy>
  <dcterms:modified xsi:type="dcterms:W3CDTF">2025-05-06T06:41:52Z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194690BE464E42ED92F461E5822DCBE4_11</vt:lpwstr>
  </property>
  <property fmtid="{D5CDD505-2E9C-101B-9397-08002B2CF9AE}" pid="4" name="KSOTemplateDocerSaveRecord">
    <vt:lpwstr>eyJoZGlkIjoiMzU5YTMwYWM2NDBlZWI2NmY2MzkxNDcyNzkzOWM1NmEiLCJ1c2VySWQiOiIyMjg5OTU1ODEifQ==</vt:lpwstr>
  </property>
</Properties>
</file>