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大数据与会计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二</w:t>
      </w:r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>
      <w:pPr>
        <w:tabs>
          <w:tab w:val="left" w:pos="720"/>
        </w:tabs>
        <w:adjustRightInd w:val="0"/>
        <w:snapToGrid w:val="0"/>
        <w:spacing w:before="312" w:beforeLines="100" w:after="312" w:afterLines="100"/>
        <w:ind w:firstLine="627" w:firstLineChars="196"/>
        <w:outlineLvl w:val="0"/>
        <w:rPr>
          <w:rFonts w:ascii="黑体" w:hAnsi="黑体" w:eastAsia="黑体"/>
          <w:kern w:val="0"/>
          <w:sz w:val="32"/>
          <w:szCs w:val="32"/>
        </w:rPr>
      </w:pPr>
      <w:bookmarkStart w:id="0" w:name="_Toc396497526"/>
      <w:bookmarkStart w:id="1" w:name="_Toc393236437"/>
      <w:bookmarkStart w:id="2" w:name="_Toc396497634"/>
      <w:bookmarkStart w:id="3" w:name="_Toc396501700"/>
      <w:bookmarkStart w:id="4" w:name="_Toc396497324"/>
      <w:r>
        <w:rPr>
          <w:rFonts w:ascii="黑体" w:hAnsi="黑体" w:eastAsia="黑体"/>
          <w:kern w:val="0"/>
          <w:sz w:val="32"/>
          <w:szCs w:val="32"/>
        </w:rPr>
        <w:t>一、基本信息</w:t>
      </w:r>
      <w:bookmarkEnd w:id="0"/>
      <w:bookmarkEnd w:id="1"/>
      <w:bookmarkEnd w:id="2"/>
      <w:bookmarkEnd w:id="3"/>
      <w:bookmarkEnd w:id="4"/>
    </w:p>
    <w:p>
      <w:pPr>
        <w:adjustRightInd w:val="0"/>
        <w:snapToGrid w:val="0"/>
        <w:spacing w:before="156" w:beforeLines="50" w:after="156" w:afterLines="50"/>
        <w:ind w:firstLine="560" w:firstLineChars="200"/>
        <w:outlineLvl w:val="1"/>
        <w:rPr>
          <w:rFonts w:ascii="黑体" w:hAnsi="黑体" w:eastAsia="黑体"/>
          <w:kern w:val="0"/>
          <w:sz w:val="28"/>
          <w:szCs w:val="28"/>
        </w:rPr>
      </w:pPr>
      <w:bookmarkStart w:id="5" w:name="_Toc396497325"/>
      <w:bookmarkStart w:id="6" w:name="_Toc393236438"/>
      <w:bookmarkStart w:id="7" w:name="_Toc396497635"/>
      <w:bookmarkStart w:id="8" w:name="_Toc396501701"/>
      <w:bookmarkStart w:id="9" w:name="_Toc396497527"/>
      <w:r>
        <w:rPr>
          <w:rFonts w:ascii="黑体" w:hAnsi="黑体" w:eastAsia="黑体"/>
          <w:kern w:val="0"/>
          <w:sz w:val="28"/>
          <w:szCs w:val="28"/>
        </w:rPr>
        <w:t>（一）专业名称</w:t>
      </w:r>
      <w:bookmarkEnd w:id="5"/>
      <w:bookmarkEnd w:id="6"/>
      <w:bookmarkEnd w:id="7"/>
      <w:bookmarkEnd w:id="8"/>
      <w:bookmarkEnd w:id="9"/>
    </w:p>
    <w:tbl>
      <w:tblPr>
        <w:tblStyle w:val="12"/>
        <w:tblW w:w="74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370"/>
        <w:gridCol w:w="27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2363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Times New Roman" w:hAnsi="宋体"/>
                <w:b/>
                <w:bCs/>
                <w:sz w:val="24"/>
              </w:rPr>
            </w:pPr>
            <w:r>
              <w:rPr>
                <w:rFonts w:hint="eastAsia" w:ascii="Times New Roman" w:hAnsi="宋体"/>
                <w:b/>
                <w:bCs/>
                <w:sz w:val="24"/>
              </w:rPr>
              <w:t>专业名称</w:t>
            </w:r>
          </w:p>
          <w:p>
            <w:pPr>
              <w:snapToGrid w:val="0"/>
              <w:spacing w:line="30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宋体"/>
                <w:b/>
                <w:bCs/>
                <w:sz w:val="24"/>
              </w:rPr>
              <w:t>（代码）</w:t>
            </w:r>
          </w:p>
        </w:tc>
        <w:tc>
          <w:tcPr>
            <w:tcW w:w="2370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所属专业大类</w:t>
            </w:r>
          </w:p>
          <w:p>
            <w:pPr>
              <w:snapToGrid w:val="0"/>
              <w:spacing w:line="30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（代码）</w:t>
            </w:r>
          </w:p>
        </w:tc>
        <w:tc>
          <w:tcPr>
            <w:tcW w:w="2735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所属专业类</w:t>
            </w:r>
          </w:p>
          <w:p>
            <w:pPr>
              <w:snapToGrid w:val="0"/>
              <w:spacing w:line="30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（代码）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36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大数据与会计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</w:t>
            </w:r>
            <w:r>
              <w:rPr>
                <w:rFonts w:ascii="Times New Roman" w:hAnsi="Times New Roman" w:eastAsia="仿宋_GB2312" w:cs="仿宋_GB2312"/>
                <w:kern w:val="0"/>
                <w:szCs w:val="21"/>
              </w:rPr>
              <w:t>530302</w:t>
            </w:r>
            <w:r>
              <w:rPr>
                <w:rFonts w:hint="eastAsia" w:ascii="Times New Roman" w:hAnsi="Times New Roman"/>
                <w:sz w:val="24"/>
              </w:rPr>
              <w:t>）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财经商贸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（53）</w:t>
            </w:r>
          </w:p>
        </w:tc>
        <w:tc>
          <w:tcPr>
            <w:tcW w:w="27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财务会计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（5303）</w:t>
            </w:r>
          </w:p>
        </w:tc>
      </w:tr>
    </w:tbl>
    <w:p>
      <w:pPr>
        <w:adjustRightInd w:val="0"/>
        <w:snapToGrid w:val="0"/>
        <w:spacing w:before="156" w:beforeLines="50" w:after="156" w:afterLines="50"/>
        <w:ind w:firstLine="560" w:firstLineChars="200"/>
        <w:outlineLvl w:val="1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（二）入学要求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</w:rPr>
      </w:pPr>
      <w:bookmarkStart w:id="10" w:name="_Toc396501703"/>
      <w:bookmarkStart w:id="11" w:name="_Toc396497529"/>
      <w:bookmarkStart w:id="12" w:name="_Toc393236440"/>
      <w:bookmarkStart w:id="13" w:name="_Toc396497637"/>
      <w:bookmarkStart w:id="14" w:name="_Toc396497327"/>
      <w:r>
        <w:rPr>
          <w:rFonts w:hint="eastAsia" w:ascii="Times New Roman" w:hAnsi="Times New Roman"/>
          <w:sz w:val="24"/>
        </w:rPr>
        <w:t>高中阶段教育毕业生或具有同等学力者</w:t>
      </w:r>
    </w:p>
    <w:p>
      <w:pPr>
        <w:adjustRightInd w:val="0"/>
        <w:snapToGrid w:val="0"/>
        <w:spacing w:before="156" w:beforeLines="50" w:after="156" w:afterLines="50"/>
        <w:ind w:firstLine="560" w:firstLineChars="200"/>
        <w:outlineLvl w:val="1"/>
        <w:rPr>
          <w:rFonts w:ascii="黑体" w:hAnsi="黑体" w:eastAsia="黑体"/>
          <w:kern w:val="0"/>
          <w:sz w:val="28"/>
          <w:szCs w:val="28"/>
        </w:rPr>
      </w:pPr>
      <w:r>
        <w:rPr>
          <w:rFonts w:ascii="黑体" w:hAnsi="黑体" w:eastAsia="黑体"/>
          <w:kern w:val="0"/>
          <w:sz w:val="28"/>
          <w:szCs w:val="28"/>
        </w:rPr>
        <w:t>（三）</w:t>
      </w:r>
      <w:bookmarkEnd w:id="10"/>
      <w:bookmarkEnd w:id="11"/>
      <w:bookmarkEnd w:id="12"/>
      <w:bookmarkEnd w:id="13"/>
      <w:bookmarkEnd w:id="14"/>
      <w:r>
        <w:rPr>
          <w:rFonts w:hint="eastAsia" w:ascii="黑体" w:hAnsi="黑体" w:eastAsia="黑体"/>
          <w:kern w:val="0"/>
          <w:sz w:val="28"/>
          <w:szCs w:val="28"/>
        </w:rPr>
        <w:t>修业年限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</w:rPr>
      </w:pPr>
      <w:bookmarkStart w:id="15" w:name="_Toc396497530"/>
      <w:bookmarkStart w:id="16" w:name="_Toc393236441"/>
      <w:bookmarkStart w:id="17" w:name="_Toc396501704"/>
      <w:bookmarkStart w:id="18" w:name="_Toc396497328"/>
      <w:bookmarkStart w:id="19" w:name="_Toc396497638"/>
      <w:r>
        <w:rPr>
          <w:rFonts w:hint="eastAsia" w:ascii="Times New Roman" w:hAnsi="Times New Roman"/>
          <w:sz w:val="24"/>
        </w:rPr>
        <w:t>标准修业年限3</w:t>
      </w:r>
      <w:r>
        <w:rPr>
          <w:rFonts w:ascii="Times New Roman" w:hAnsi="Times New Roman"/>
          <w:sz w:val="24"/>
        </w:rPr>
        <w:t>年，</w:t>
      </w:r>
      <w:r>
        <w:rPr>
          <w:rFonts w:hint="eastAsia" w:ascii="Times New Roman" w:hAnsi="Times New Roman"/>
          <w:sz w:val="24"/>
        </w:rPr>
        <w:t>实行弹性学制，最长修业年限6年</w:t>
      </w:r>
    </w:p>
    <w:p>
      <w:pPr>
        <w:adjustRightInd w:val="0"/>
        <w:snapToGrid w:val="0"/>
        <w:spacing w:before="156" w:beforeLines="50" w:after="156" w:afterLines="50"/>
        <w:ind w:firstLine="560" w:firstLineChars="200"/>
        <w:outlineLvl w:val="1"/>
        <w:rPr>
          <w:rFonts w:ascii="黑体" w:hAnsi="黑体" w:eastAsia="黑体"/>
          <w:kern w:val="0"/>
          <w:sz w:val="28"/>
          <w:szCs w:val="28"/>
        </w:rPr>
      </w:pPr>
      <w:r>
        <w:rPr>
          <w:rFonts w:ascii="黑体" w:hAnsi="黑体" w:eastAsia="黑体"/>
          <w:kern w:val="0"/>
          <w:sz w:val="28"/>
          <w:szCs w:val="28"/>
        </w:rPr>
        <w:t>（四）教育类型和学历层次</w:t>
      </w:r>
      <w:bookmarkEnd w:id="15"/>
      <w:bookmarkEnd w:id="16"/>
      <w:bookmarkEnd w:id="17"/>
      <w:bookmarkEnd w:id="18"/>
      <w:bookmarkEnd w:id="19"/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普通高等职业教育、专科</w:t>
      </w:r>
    </w:p>
    <w:p>
      <w:pPr>
        <w:tabs>
          <w:tab w:val="left" w:pos="720"/>
        </w:tabs>
        <w:adjustRightInd w:val="0"/>
        <w:snapToGrid w:val="0"/>
        <w:spacing w:before="312" w:beforeLines="100" w:after="312" w:afterLines="100"/>
        <w:ind w:firstLine="627" w:firstLineChars="196"/>
        <w:outlineLvl w:val="0"/>
        <w:rPr>
          <w:rFonts w:ascii="黑体" w:hAnsi="黑体" w:eastAsia="黑体"/>
          <w:kern w:val="0"/>
          <w:sz w:val="32"/>
          <w:szCs w:val="32"/>
        </w:rPr>
      </w:pPr>
      <w:bookmarkStart w:id="20" w:name="_Toc393236445"/>
      <w:bookmarkStart w:id="21" w:name="_Toc396497534"/>
      <w:bookmarkStart w:id="22" w:name="_Toc396497332"/>
      <w:bookmarkStart w:id="23" w:name="_Toc396497642"/>
      <w:bookmarkStart w:id="24" w:name="_Toc396501708"/>
      <w:r>
        <w:rPr>
          <w:rFonts w:hint="eastAsia" w:ascii="黑体" w:hAnsi="黑体" w:eastAsia="黑体"/>
          <w:kern w:val="0"/>
          <w:sz w:val="32"/>
          <w:szCs w:val="32"/>
        </w:rPr>
        <w:t>二、职业</w:t>
      </w:r>
      <w:bookmarkEnd w:id="20"/>
      <w:bookmarkEnd w:id="21"/>
      <w:bookmarkEnd w:id="22"/>
      <w:bookmarkEnd w:id="23"/>
      <w:bookmarkEnd w:id="24"/>
      <w:r>
        <w:rPr>
          <w:rFonts w:hint="eastAsia" w:ascii="黑体" w:hAnsi="黑体" w:eastAsia="黑体"/>
          <w:kern w:val="0"/>
          <w:sz w:val="32"/>
          <w:szCs w:val="32"/>
        </w:rPr>
        <w:t>岗位及发展</w:t>
      </w:r>
    </w:p>
    <w:p>
      <w:pPr>
        <w:adjustRightInd w:val="0"/>
        <w:snapToGrid w:val="0"/>
        <w:spacing w:before="156" w:beforeLines="50" w:after="156" w:afterLines="50"/>
        <w:ind w:firstLine="560" w:firstLineChars="200"/>
        <w:outlineLvl w:val="1"/>
        <w:rPr>
          <w:rFonts w:ascii="黑体" w:hAnsi="黑体" w:eastAsia="黑体"/>
          <w:kern w:val="0"/>
          <w:sz w:val="28"/>
          <w:szCs w:val="28"/>
        </w:rPr>
      </w:pPr>
      <w:r>
        <w:rPr>
          <w:rFonts w:ascii="黑体" w:hAnsi="黑体" w:eastAsia="黑体"/>
          <w:kern w:val="0"/>
          <w:sz w:val="28"/>
          <w:szCs w:val="28"/>
        </w:rPr>
        <w:t>（</w:t>
      </w:r>
      <w:r>
        <w:rPr>
          <w:rFonts w:hint="eastAsia" w:ascii="黑体" w:hAnsi="黑体" w:eastAsia="黑体"/>
          <w:kern w:val="0"/>
          <w:sz w:val="28"/>
          <w:szCs w:val="28"/>
        </w:rPr>
        <w:t>一）面向岗位</w:t>
      </w:r>
    </w:p>
    <w:tbl>
      <w:tblPr>
        <w:tblStyle w:val="12"/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276"/>
        <w:gridCol w:w="3969"/>
        <w:gridCol w:w="709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129" w:type="dxa"/>
            <w:vMerge w:val="restart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专业名称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职业岗位</w:t>
            </w:r>
          </w:p>
        </w:tc>
        <w:tc>
          <w:tcPr>
            <w:tcW w:w="7655" w:type="dxa"/>
            <w:gridSpan w:val="3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职业技能等级证书、行业标准或证书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129" w:type="dxa"/>
            <w:vMerge w:val="continue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证书名称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等级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颁证单位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restart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会计学</w:t>
            </w:r>
          </w:p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（普招）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出纳</w:t>
            </w:r>
          </w:p>
        </w:tc>
        <w:tc>
          <w:tcPr>
            <w:tcW w:w="3969" w:type="dxa"/>
            <w:vAlign w:val="center"/>
          </w:tcPr>
          <w:p>
            <w:pPr>
              <w:tabs>
                <w:tab w:val="left" w:pos="377"/>
                <w:tab w:val="center" w:pos="753"/>
              </w:tabs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初级会计师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初级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财政部会计资格评价中心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129" w:type="dxa"/>
            <w:vMerge w:val="continue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外勤会计</w:t>
            </w:r>
          </w:p>
        </w:tc>
        <w:tc>
          <w:tcPr>
            <w:tcW w:w="396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财务共享服务职业技能等级证书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中级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北京东大正保科技有限公司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129" w:type="dxa"/>
            <w:vMerge w:val="continue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核算会计</w:t>
            </w:r>
          </w:p>
        </w:tc>
        <w:tc>
          <w:tcPr>
            <w:tcW w:w="396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初级会计师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初级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财政部会计资格评价中心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29" w:type="dxa"/>
            <w:vMerge w:val="continue"/>
          </w:tcPr>
          <w:p>
            <w:pPr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财务共享服务职业技能等级证书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中级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北京东大正保科技有限公司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129" w:type="dxa"/>
            <w:vMerge w:val="continue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业财一体信息化应用职业技能等级证书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中级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新道科技股份有限公司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外勤主管</w:t>
            </w:r>
          </w:p>
        </w:tc>
        <w:tc>
          <w:tcPr>
            <w:tcW w:w="396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财务共享服务职业技能等级证书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高级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北京东大正保科技有限公司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税务师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中国总会计师协会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29" w:type="dxa"/>
            <w:vMerge w:val="continue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会计主管</w:t>
            </w:r>
          </w:p>
        </w:tc>
        <w:tc>
          <w:tcPr>
            <w:tcW w:w="396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财务共享服务职业技能等级证书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高级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北京东大正保科技有限公司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29" w:type="dxa"/>
            <w:vMerge w:val="continue"/>
          </w:tcPr>
          <w:p>
            <w:pPr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业财一体信息化应用职业技能等级证书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高级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新道科技股份有限公司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29" w:type="dxa"/>
            <w:vMerge w:val="continue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会计师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中级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财政部会计资格评价中心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29" w:type="dxa"/>
            <w:vMerge w:val="continue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CPA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财政部注册会计师考试委员会</w:t>
            </w:r>
          </w:p>
        </w:tc>
      </w:tr>
    </w:tbl>
    <w:p>
      <w:pPr>
        <w:adjustRightInd w:val="0"/>
        <w:snapToGrid w:val="0"/>
        <w:spacing w:before="156" w:beforeLines="50" w:after="156" w:afterLines="50"/>
        <w:ind w:firstLine="560" w:firstLineChars="200"/>
        <w:outlineLvl w:val="1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（二）职业生涯路径</w:t>
      </w:r>
    </w:p>
    <w:p>
      <w:pPr>
        <w:ind w:firstLine="555"/>
        <w:jc w:val="center"/>
        <w:rPr>
          <w:rFonts w:ascii="宋体" w:hAnsi="宋体"/>
          <w:sz w:val="24"/>
        </w:rPr>
      </w:pPr>
      <w:r>
        <w:rPr>
          <w:rFonts w:ascii="Times New Roman" w:hAnsi="Times New Roman"/>
        </w:rPr>
        <w:drawing>
          <wp:inline distT="0" distB="0" distL="0" distR="0">
            <wp:extent cx="4000500" cy="2082800"/>
            <wp:effectExtent l="0" t="0" r="0" b="0"/>
            <wp:docPr id="2" name="图片 2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0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Times New Roman" w:hAnsi="Times New Roman"/>
          <w:sz w:val="24"/>
        </w:rPr>
        <w:t>会计专业职业生涯路径较为清晰。学生毕业后的工作起点为企事业单位或其他经济组织的出纳、核算会计、外勤会计或者在会计所担任助理审计员，在积累了一定的工作年限后，考取会计师、税务师或者更高级别的X证书等，成为具备系统专业知识及一定管理能力的会计主管、项目经理等管理人员。学生还可以通过参加高级会计师的考评和注册会计师考试，获取相应职称或执业资格，从事更高级别的管理岗位，如单位财务经理和会计所的签字注册会计师等。</w:t>
      </w:r>
    </w:p>
    <w:p>
      <w:pPr>
        <w:pStyle w:val="2"/>
        <w:spacing w:before="312" w:after="312"/>
        <w:ind w:firstLine="0" w:firstLineChars="0"/>
        <w:jc w:val="center"/>
      </w:pPr>
      <w:r>
        <w:drawing>
          <wp:inline distT="0" distB="0" distL="114300" distR="114300">
            <wp:extent cx="4003040" cy="2081530"/>
            <wp:effectExtent l="0" t="0" r="10160" b="127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3040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（四）专业核心课程</w:t>
      </w:r>
    </w:p>
    <w:p>
      <w:pPr>
        <w:adjustRightInd w:val="0"/>
        <w:snapToGrid w:val="0"/>
        <w:spacing w:line="360" w:lineRule="auto"/>
        <w:ind w:firstLine="57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财务会计实务、业务财务一体化、税费计算与申报、财务管理、管理会计、成本管理、ERP沙盘实战、财务共享服务会计实训、业财一体信息化应用实训等。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/>
        </w:rPr>
        <w:t xml:space="preserve">  </w:t>
      </w:r>
      <w:r>
        <w:rPr>
          <w:rFonts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（一）毕业学分要求 </w:t>
      </w:r>
    </w:p>
    <w:p>
      <w:pPr>
        <w:spacing w:line="360" w:lineRule="auto"/>
        <w:ind w:firstLine="480" w:firstLineChars="200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为保证学生素质的全面提升，学生毕业共须修满 144 学分，其中通识必修课应修满 </w:t>
      </w:r>
      <w:r>
        <w:rPr>
          <w:rFonts w:hint="default" w:ascii="Times New Roman" w:hAnsi="Times New Roman"/>
          <w:sz w:val="24"/>
          <w:lang w:val="en-US" w:eastAsia="zh-CN"/>
        </w:rPr>
        <w:t xml:space="preserve">40 </w:t>
      </w:r>
      <w:r>
        <w:rPr>
          <w:rFonts w:hint="eastAsia" w:ascii="Times New Roman" w:hAnsi="Times New Roman"/>
          <w:sz w:val="24"/>
          <w:lang w:val="en-US" w:eastAsia="zh-CN"/>
        </w:rPr>
        <w:t xml:space="preserve">学分，通识选修课修满 </w:t>
      </w:r>
      <w:r>
        <w:rPr>
          <w:rFonts w:hint="default" w:ascii="Times New Roman" w:hAnsi="Times New Roman"/>
          <w:sz w:val="24"/>
          <w:lang w:val="en-US" w:eastAsia="zh-CN"/>
        </w:rPr>
        <w:t xml:space="preserve">11 </w:t>
      </w:r>
      <w:r>
        <w:rPr>
          <w:rFonts w:hint="eastAsia" w:ascii="Times New Roman" w:hAnsi="Times New Roman"/>
          <w:sz w:val="24"/>
          <w:lang w:val="en-US" w:eastAsia="zh-CN"/>
        </w:rPr>
        <w:t xml:space="preserve">学分（通识限选课修满 </w:t>
      </w:r>
      <w:r>
        <w:rPr>
          <w:rFonts w:hint="default" w:ascii="Times New Roman" w:hAnsi="Times New Roman"/>
          <w:sz w:val="24"/>
          <w:lang w:val="en-US" w:eastAsia="zh-CN"/>
        </w:rPr>
        <w:t xml:space="preserve">7 </w:t>
      </w:r>
      <w:r>
        <w:rPr>
          <w:rFonts w:hint="eastAsia" w:ascii="Times New Roman" w:hAnsi="Times New Roman"/>
          <w:sz w:val="24"/>
          <w:lang w:val="en-US" w:eastAsia="zh-CN"/>
        </w:rPr>
        <w:t>学分</w:t>
      </w:r>
      <w:r>
        <w:rPr>
          <w:rFonts w:hint="default" w:ascii="Times New Roman" w:hAnsi="Times New Roman"/>
          <w:sz w:val="24"/>
          <w:lang w:val="en-US" w:eastAsia="zh-CN"/>
        </w:rPr>
        <w:t xml:space="preserve">, </w:t>
      </w:r>
      <w:r>
        <w:rPr>
          <w:rFonts w:hint="eastAsia" w:ascii="Times New Roman" w:hAnsi="Times New Roman"/>
          <w:sz w:val="24"/>
          <w:lang w:val="en-US" w:eastAsia="zh-CN"/>
        </w:rPr>
        <w:t xml:space="preserve">通识任选课修满 </w:t>
      </w:r>
      <w:r>
        <w:rPr>
          <w:rFonts w:hint="default" w:ascii="Times New Roman" w:hAnsi="Times New Roman"/>
          <w:sz w:val="24"/>
          <w:lang w:val="en-US" w:eastAsia="zh-CN"/>
        </w:rPr>
        <w:t xml:space="preserve">4 </w:t>
      </w:r>
      <w:r>
        <w:rPr>
          <w:rFonts w:hint="eastAsia" w:ascii="Times New Roman" w:hAnsi="Times New Roman"/>
          <w:sz w:val="24"/>
          <w:lang w:val="en-US" w:eastAsia="zh-CN"/>
        </w:rPr>
        <w:t xml:space="preserve">学分）；专业必修课修满 </w:t>
      </w:r>
      <w:r>
        <w:rPr>
          <w:rFonts w:hint="default" w:ascii="Times New Roman" w:hAnsi="Times New Roman"/>
          <w:sz w:val="24"/>
          <w:lang w:val="en-US" w:eastAsia="zh-CN"/>
        </w:rPr>
        <w:t xml:space="preserve">46.5 </w:t>
      </w:r>
      <w:r>
        <w:rPr>
          <w:rFonts w:hint="eastAsia" w:ascii="Times New Roman" w:hAnsi="Times New Roman"/>
          <w:sz w:val="24"/>
          <w:lang w:val="en-US" w:eastAsia="zh-CN"/>
        </w:rPr>
        <w:t xml:space="preserve">学分，专业限选课修满 </w:t>
      </w:r>
      <w:r>
        <w:rPr>
          <w:rFonts w:hint="default" w:ascii="Times New Roman" w:hAnsi="Times New Roman"/>
          <w:sz w:val="24"/>
          <w:lang w:val="en-US" w:eastAsia="zh-CN"/>
        </w:rPr>
        <w:t xml:space="preserve">7.5 </w:t>
      </w:r>
      <w:r>
        <w:rPr>
          <w:rFonts w:hint="eastAsia" w:ascii="Times New Roman" w:hAnsi="Times New Roman"/>
          <w:sz w:val="24"/>
          <w:lang w:val="en-US" w:eastAsia="zh-CN"/>
        </w:rPr>
        <w:t xml:space="preserve">学分；素质拓展与社会实践课程修满 </w:t>
      </w:r>
      <w:r>
        <w:rPr>
          <w:rFonts w:hint="default" w:ascii="Times New Roman" w:hAnsi="Times New Roman"/>
          <w:sz w:val="24"/>
          <w:lang w:val="en-US" w:eastAsia="zh-CN"/>
        </w:rPr>
        <w:t xml:space="preserve">8 </w:t>
      </w:r>
      <w:r>
        <w:rPr>
          <w:rFonts w:hint="eastAsia" w:ascii="Times New Roman" w:hAnsi="Times New Roman"/>
          <w:sz w:val="24"/>
          <w:lang w:val="en-US" w:eastAsia="zh-CN"/>
        </w:rPr>
        <w:t xml:space="preserve">学分，综合实践课程修满 </w:t>
      </w:r>
      <w:r>
        <w:rPr>
          <w:rFonts w:hint="default" w:ascii="Times New Roman" w:hAnsi="Times New Roman"/>
          <w:sz w:val="24"/>
          <w:lang w:val="en-US" w:eastAsia="zh-CN"/>
        </w:rPr>
        <w:t xml:space="preserve">32 </w:t>
      </w:r>
      <w:r>
        <w:rPr>
          <w:rFonts w:hint="eastAsia" w:ascii="Times New Roman" w:hAnsi="Times New Roman"/>
          <w:sz w:val="24"/>
          <w:lang w:val="en-US" w:eastAsia="zh-CN"/>
        </w:rPr>
        <w:t xml:space="preserve">学分。各类课程学分可根据《学分积累、转换和认定办法》予以认定。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（二）外语等级考试要求 </w:t>
      </w:r>
    </w:p>
    <w:p>
      <w:pPr>
        <w:spacing w:line="360" w:lineRule="auto"/>
        <w:ind w:firstLine="480" w:firstLineChars="200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取得江苏省高校英语应用能力考试 A 级、并取得 50 分及以上成绩，或通过江苏省高校英语应用能力考试口语考试。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（三）职业技能或职业资格证书要求 </w:t>
      </w:r>
    </w:p>
    <w:p>
      <w:pPr>
        <w:spacing w:line="360" w:lineRule="auto"/>
        <w:ind w:firstLine="480" w:firstLineChars="200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职业资格证书和职业技能证书不再作为学生毕业条件之一，建议学生取得初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级会计师证书、初级经济师、初级管理会计师，或者国家教育部认可的 X 证书中的一个。学生取得初级会计师职称证书可以获得《经济法基础》的课程学分；取得管理会计师资格证书可以获得《管理会计》的课程学分；取得财务共享服务职业技能等级证书可以获得《财务共享服务》的课程学分；取得业财一体信息化职业技能等级证书，可以获得《业财一体信息化操作》的课程学分。其他课程学分可根据《学分积累、转换和认定办法》予以认定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（四）学生思想品德考核要求 </w:t>
      </w:r>
    </w:p>
    <w:p>
      <w:pPr>
        <w:spacing w:line="360" w:lineRule="auto"/>
        <w:ind w:firstLine="480" w:firstLineChars="200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根据《职业技术学院学生操行积分管理办法》对学生进行德育素质考核，考 </w:t>
      </w:r>
    </w:p>
    <w:p>
      <w:pPr>
        <w:spacing w:line="360" w:lineRule="auto"/>
      </w:pPr>
      <w:r>
        <w:rPr>
          <w:rFonts w:hint="eastAsia" w:ascii="Times New Roman" w:hAnsi="Times New Roman"/>
          <w:sz w:val="24"/>
          <w:lang w:val="en-US" w:eastAsia="zh-CN"/>
        </w:rPr>
        <w:t xml:space="preserve">核结果合格及以上。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（五）体质健康测试要求 </w:t>
      </w:r>
    </w:p>
    <w:p>
      <w:pPr>
        <w:spacing w:line="360" w:lineRule="auto"/>
        <w:ind w:firstLine="480" w:firstLineChars="200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学生体制健康测试严格执行“国家学生体质健康标准”，毕业前体制健康测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试成绩必须达 </w:t>
      </w:r>
      <w:r>
        <w:rPr>
          <w:rFonts w:hint="default" w:ascii="Times New Roman" w:hAnsi="Times New Roman"/>
          <w:sz w:val="24"/>
          <w:lang w:val="en-US" w:eastAsia="zh-CN"/>
        </w:rPr>
        <w:t xml:space="preserve">50 </w:t>
      </w:r>
      <w:r>
        <w:rPr>
          <w:rFonts w:hint="eastAsia" w:ascii="Times New Roman" w:hAnsi="Times New Roman"/>
          <w:sz w:val="24"/>
          <w:lang w:val="en-US" w:eastAsia="zh-CN"/>
        </w:rPr>
        <w:t xml:space="preserve">分以上。对省级以上体育竞赛比赛获三等奖以上学生，可以免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除以上要求。学生因病或残疾可向学校提交免测申请，经医疗单位证明，体育教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>学部门核准，可以免除以上要求，但须填写《免予执行</w:t>
      </w:r>
      <w:r>
        <w:rPr>
          <w:rFonts w:hint="default" w:ascii="Times New Roman" w:hAnsi="Times New Roman"/>
          <w:sz w:val="24"/>
          <w:lang w:val="en-US" w:eastAsia="zh-CN"/>
        </w:rPr>
        <w:t>&lt;</w:t>
      </w:r>
      <w:r>
        <w:rPr>
          <w:rFonts w:hint="eastAsia" w:ascii="Times New Roman" w:hAnsi="Times New Roman"/>
          <w:sz w:val="24"/>
          <w:lang w:val="en-US" w:eastAsia="zh-CN"/>
        </w:rPr>
        <w:t>国家学生体质健康标准</w:t>
      </w:r>
      <w:r>
        <w:rPr>
          <w:rFonts w:hint="default" w:ascii="Times New Roman" w:hAnsi="Times New Roman"/>
          <w:sz w:val="24"/>
          <w:lang w:val="en-US" w:eastAsia="zh-CN"/>
        </w:rPr>
        <w:t xml:space="preserve">&gt;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bookmarkStart w:id="30" w:name="_GoBack"/>
      <w:bookmarkEnd w:id="30"/>
      <w:r>
        <w:rPr>
          <w:rFonts w:hint="eastAsia" w:ascii="Times New Roman" w:hAnsi="Times New Roman"/>
          <w:sz w:val="24"/>
          <w:lang w:val="en-US" w:eastAsia="zh-CN"/>
        </w:rPr>
        <w:t xml:space="preserve">申请表》存入学生档案。 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25" w:name="_Toc396497636"/>
      <w:bookmarkStart w:id="26" w:name="_Toc396497528"/>
      <w:bookmarkStart w:id="27" w:name="_Toc393236439"/>
      <w:bookmarkStart w:id="28" w:name="_Toc396497326"/>
      <w:bookmarkStart w:id="29" w:name="_Toc396501702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（一）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可接受转专业学生计划数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中职起点：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符合《江苏海事职业技术学院学生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学籍管理办法</w:t>
      </w:r>
      <w:r>
        <w:rPr>
          <w:rFonts w:hint="eastAsia" w:ascii="Times New Roman" w:hAnsi="Times New Roman"/>
          <w:sz w:val="24"/>
          <w:szCs w:val="24"/>
        </w:rPr>
        <w:t>》第二章规定的相关学生，且在校学习期间没有考试挂科、没有受到处分。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三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bookmarkEnd w:id="25"/>
    <w:bookmarkEnd w:id="26"/>
    <w:bookmarkEnd w:id="27"/>
    <w:bookmarkEnd w:id="28"/>
    <w:bookmarkEnd w:id="29"/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转入学生需对会计专业有较大兴趣，同时，需满足以下条件：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在校学习期间，所有科目无不合格。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在校学习期间，无处分记录。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当申请学生人数大于可录取数时，需经过考核或面试，择优录取。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811FEF"/>
    <w:multiLevelType w:val="singleLevel"/>
    <w:tmpl w:val="5B811FE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1C0D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3763F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0C81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4F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C39F7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0E0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411AE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81D64"/>
    <w:rsid w:val="00E91A17"/>
    <w:rsid w:val="00EA1533"/>
    <w:rsid w:val="00EA343B"/>
    <w:rsid w:val="00EA7CBA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0F8E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628FD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024A1A44"/>
    <w:rsid w:val="03164E01"/>
    <w:rsid w:val="0A2A7C45"/>
    <w:rsid w:val="165E53D8"/>
    <w:rsid w:val="26A7553A"/>
    <w:rsid w:val="278C4817"/>
    <w:rsid w:val="286033FE"/>
    <w:rsid w:val="3304683D"/>
    <w:rsid w:val="39E22AE7"/>
    <w:rsid w:val="3C746492"/>
    <w:rsid w:val="448F3298"/>
    <w:rsid w:val="48340C07"/>
    <w:rsid w:val="4B3D238E"/>
    <w:rsid w:val="63B45DF5"/>
    <w:rsid w:val="7A81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CAC36-30B5-4FD7-8584-038BB8D2E9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1401</Words>
  <Characters>1434</Characters>
  <Lines>12</Lines>
  <Paragraphs>3</Paragraphs>
  <TotalTime>16</TotalTime>
  <ScaleCrop>false</ScaleCrop>
  <LinksUpToDate>false</LinksUpToDate>
  <CharactersWithSpaces>1459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三月</cp:lastModifiedBy>
  <dcterms:modified xsi:type="dcterms:W3CDTF">2024-06-07T08:13:28Z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5C78E320763C416698040408969FF57A</vt:lpwstr>
  </property>
</Properties>
</file>