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36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电子商务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二</w:t>
      </w:r>
      <w:bookmarkStart w:id="11" w:name="_GoBack"/>
      <w:bookmarkEnd w:id="11"/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>
      <w:pPr>
        <w:pStyle w:val="2"/>
        <w:spacing w:beforeLines="0" w:afterLines="0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501700"/>
      <w:bookmarkStart w:id="1" w:name="_Toc396497526"/>
      <w:bookmarkStart w:id="2" w:name="_Toc396497324"/>
      <w:bookmarkStart w:id="3" w:name="_Toc393236437"/>
      <w:bookmarkStart w:id="4" w:name="_Toc396497634"/>
    </w:p>
    <w:bookmarkEnd w:id="0"/>
    <w:bookmarkEnd w:id="1"/>
    <w:bookmarkEnd w:id="2"/>
    <w:bookmarkEnd w:id="3"/>
    <w:bookmarkEnd w:id="4"/>
    <w:p>
      <w:pPr>
        <w:adjustRightInd w:val="0"/>
        <w:spacing w:line="360" w:lineRule="auto"/>
        <w:ind w:firstLine="562" w:firstLineChars="200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一、基本信息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（一）专业名称</w:t>
      </w:r>
    </w:p>
    <w:tbl>
      <w:tblPr>
        <w:tblStyle w:val="12"/>
        <w:tblW w:w="8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170" w:type="dxa"/>
          <w:left w:w="108" w:type="dxa"/>
          <w:bottom w:w="170" w:type="dxa"/>
          <w:right w:w="108" w:type="dxa"/>
        </w:tblCellMar>
      </w:tblPr>
      <w:tblGrid>
        <w:gridCol w:w="2661"/>
        <w:gridCol w:w="2945"/>
        <w:gridCol w:w="26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661" w:type="dxa"/>
            <w:vAlign w:val="center"/>
          </w:tcPr>
          <w:p>
            <w:pPr>
              <w:adjustRightInd w:val="0"/>
              <w:spacing w:line="360" w:lineRule="auto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专业名称（代码）</w:t>
            </w:r>
          </w:p>
        </w:tc>
        <w:tc>
          <w:tcPr>
            <w:tcW w:w="2945" w:type="dxa"/>
            <w:vAlign w:val="center"/>
          </w:tcPr>
          <w:p>
            <w:pPr>
              <w:adjustRightInd w:val="0"/>
              <w:spacing w:line="360" w:lineRule="auto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所属专业大类（代码）</w:t>
            </w:r>
          </w:p>
        </w:tc>
        <w:tc>
          <w:tcPr>
            <w:tcW w:w="2627" w:type="dxa"/>
            <w:vAlign w:val="center"/>
          </w:tcPr>
          <w:p>
            <w:pPr>
              <w:adjustRightInd w:val="0"/>
              <w:spacing w:line="360" w:lineRule="auto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所属专业类（代码）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661" w:type="dxa"/>
            <w:vAlign w:val="center"/>
          </w:tcPr>
          <w:p>
            <w:pPr>
              <w:adjustRightInd w:val="0"/>
              <w:spacing w:line="360" w:lineRule="auto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电子商务（530701）</w:t>
            </w:r>
          </w:p>
        </w:tc>
        <w:tc>
          <w:tcPr>
            <w:tcW w:w="2945" w:type="dxa"/>
            <w:vAlign w:val="center"/>
          </w:tcPr>
          <w:p>
            <w:pPr>
              <w:adjustRightInd w:val="0"/>
              <w:spacing w:line="360" w:lineRule="auto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财经商贸大类（53）</w:t>
            </w:r>
          </w:p>
        </w:tc>
        <w:tc>
          <w:tcPr>
            <w:tcW w:w="2627" w:type="dxa"/>
            <w:vAlign w:val="center"/>
          </w:tcPr>
          <w:p>
            <w:pPr>
              <w:adjustRightInd w:val="0"/>
              <w:spacing w:line="360" w:lineRule="auto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电子商务类（5307）</w:t>
            </w:r>
          </w:p>
        </w:tc>
      </w:tr>
    </w:tbl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（二）入学要求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中职毕业生、高中阶段教育毕业生或具有同等学力者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（三）</w:t>
      </w:r>
      <w:r>
        <w:rPr>
          <w:rFonts w:hint="eastAsia" w:asciiTheme="minorEastAsia" w:hAnsiTheme="minorEastAsia" w:eastAsiaTheme="minorEastAsia"/>
          <w:sz w:val="28"/>
          <w:szCs w:val="28"/>
        </w:rPr>
        <w:t>修业年限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标准修业年限3</w:t>
      </w:r>
      <w:r>
        <w:rPr>
          <w:rFonts w:asciiTheme="minorEastAsia" w:hAnsiTheme="minorEastAsia" w:eastAsiaTheme="minorEastAsia"/>
          <w:sz w:val="28"/>
          <w:szCs w:val="28"/>
        </w:rPr>
        <w:t>年，</w:t>
      </w:r>
      <w:r>
        <w:rPr>
          <w:rFonts w:hint="eastAsia" w:asciiTheme="minorEastAsia" w:hAnsiTheme="minorEastAsia" w:eastAsiaTheme="minorEastAsia"/>
          <w:sz w:val="28"/>
          <w:szCs w:val="28"/>
        </w:rPr>
        <w:t>实行弹性学制，最长修业年限6年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（四）教育类型和学历层次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普通高等职业教育、专科</w:t>
      </w:r>
    </w:p>
    <w:p>
      <w:pPr>
        <w:adjustRightInd w:val="0"/>
        <w:spacing w:line="360" w:lineRule="auto"/>
        <w:ind w:firstLine="562" w:firstLineChars="200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二、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职业岗位及发展</w:t>
      </w:r>
    </w:p>
    <w:p>
      <w:pPr>
        <w:pStyle w:val="4"/>
      </w:pPr>
      <w:r>
        <w:t>（</w:t>
      </w:r>
      <w:r>
        <w:rPr>
          <w:rFonts w:hint="eastAsia"/>
        </w:rPr>
        <w:t>一）面向岗位</w:t>
      </w:r>
    </w:p>
    <w:tbl>
      <w:tblPr>
        <w:tblStyle w:val="12"/>
        <w:tblW w:w="9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194"/>
        <w:gridCol w:w="1605"/>
        <w:gridCol w:w="2754"/>
        <w:gridCol w:w="826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5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119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专业方向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职业岗位</w:t>
            </w:r>
          </w:p>
        </w:tc>
        <w:tc>
          <w:tcPr>
            <w:tcW w:w="539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职业技能等级证书、行业标准或证书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54" w:type="dxa"/>
            <w:vMerge w:val="continue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1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证书名称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vMerge w:val="restart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电子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商务</w:t>
            </w:r>
          </w:p>
        </w:tc>
        <w:tc>
          <w:tcPr>
            <w:tcW w:w="1194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电商视觉设计</w:t>
            </w:r>
          </w:p>
        </w:tc>
        <w:tc>
          <w:tcPr>
            <w:tcW w:w="16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图文编辑/网页设计/商品拍摄/短视频制作</w:t>
            </w:r>
          </w:p>
        </w:tc>
        <w:tc>
          <w:tcPr>
            <w:tcW w:w="2754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网页设计师/CIW认证/ Macromedia认证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中级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国家人社部/IWA/Macromedia中国授权认证培训中心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vMerge w:val="continue"/>
          </w:tcPr>
          <w:p>
            <w:pPr>
              <w:spacing w:line="360" w:lineRule="exact"/>
              <w:jc w:val="center"/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网络营销推广</w:t>
            </w:r>
          </w:p>
        </w:tc>
        <w:tc>
          <w:tcPr>
            <w:tcW w:w="16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营销策划/直播运营/文案创作/新媒体运营</w:t>
            </w:r>
          </w:p>
        </w:tc>
        <w:tc>
          <w:tcPr>
            <w:tcW w:w="2754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助理电子商务师/网络营销师/电商直播职业证书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初级/中级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国家工业和信息化部/国家人社部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vMerge w:val="continue"/>
          </w:tcPr>
          <w:p>
            <w:pPr>
              <w:spacing w:line="360" w:lineRule="exact"/>
              <w:jc w:val="center"/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电商运营分析</w:t>
            </w:r>
          </w:p>
        </w:tc>
        <w:tc>
          <w:tcPr>
            <w:tcW w:w="16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电商平台运营/数据分析/客户管理/自主创业</w:t>
            </w:r>
          </w:p>
        </w:tc>
        <w:tc>
          <w:tcPr>
            <w:tcW w:w="2754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网店运营推广职业技能证书/电商数据分析职业技能证书/跨境电子商务师/大学生创业认证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中级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1+X职业技能证书/阿里巴巴/CEAC认证机构</w:t>
            </w:r>
          </w:p>
        </w:tc>
      </w:tr>
    </w:tbl>
    <w:p>
      <w:pPr>
        <w:adjustRightInd w:val="0"/>
        <w:spacing w:line="360" w:lineRule="auto"/>
        <w:ind w:firstLine="422" w:firstLineChars="200"/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1300480</wp:posOffset>
            </wp:positionH>
            <wp:positionV relativeFrom="page">
              <wp:posOffset>2349500</wp:posOffset>
            </wp:positionV>
            <wp:extent cx="4514215" cy="3275965"/>
            <wp:effectExtent l="0" t="0" r="0" b="0"/>
            <wp:wrapTopAndBottom/>
            <wp:docPr id="6" name="图片 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（二）职业生涯路径</w:t>
      </w:r>
    </w:p>
    <w:p>
      <w:pPr>
        <w:ind w:firstLine="480"/>
        <w:jc w:val="center"/>
      </w:pPr>
    </w:p>
    <w:p>
      <w:pPr>
        <w:pStyle w:val="2"/>
        <w:numPr>
          <w:ilvl w:val="0"/>
          <w:numId w:val="1"/>
        </w:numPr>
        <w:snapToGrid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电子商务视觉设计、电子商务网页设计、电子商务数据分析、网店运营、网络营销实务、新媒体文案创作与传播、电商直播、电子商务安全技术与实践、跨境电商运营、跨境电商客户关系管理、“互联网+</w:t>
      </w:r>
      <w:r>
        <w:rPr>
          <w:rFonts w:asciiTheme="minorEastAsia" w:hAnsiTheme="minorEastAsia" w:eastAsiaTheme="minorEastAsia"/>
          <w:sz w:val="28"/>
          <w:szCs w:val="28"/>
        </w:rPr>
        <w:t>”</w:t>
      </w:r>
      <w:r>
        <w:rPr>
          <w:rFonts w:hint="eastAsia" w:asciiTheme="minorEastAsia" w:hAnsiTheme="minorEastAsia" w:eastAsiaTheme="minorEastAsia"/>
          <w:sz w:val="28"/>
          <w:szCs w:val="28"/>
        </w:rPr>
        <w:t>创业和电子商务赛训等。</w:t>
      </w:r>
    </w:p>
    <w:p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2"/>
        <w:snapToGrid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（1）学分要求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bookmarkStart w:id="5" w:name="_Hlk46264673"/>
      <w:r>
        <w:rPr>
          <w:rFonts w:hint="eastAsia" w:asciiTheme="minorHAnsi" w:hAnsiTheme="minorHAnsi" w:eastAsiaTheme="minorEastAsia"/>
        </w:rPr>
        <w:t>为保证学生素质的全面提升，学生毕业共须修满150学分，其中通识必修课应修满40学分，通识选修课修满11学分（通识限选课修满7学分, 通识任选课修满4学分）；专业必修课修满44学分，专业限选课修满12学分；素质拓展与社会实践课程修满8学分，综合实践课程修满35学分。</w:t>
      </w:r>
      <w:bookmarkEnd w:id="5"/>
      <w:r>
        <w:rPr>
          <w:rFonts w:asciiTheme="minorHAnsi" w:hAnsiTheme="minorHAnsi" w:eastAsiaTheme="minorEastAsia"/>
        </w:rPr>
        <w:t>各类课程学分可根据《江苏海院学分积累、转换和认定办法》予以认定。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（2）外语水平要求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HAnsi" w:hAnsiTheme="minorHAnsi" w:eastAsiaTheme="minorEastAsia"/>
        </w:rPr>
        <w:t>对考取高校英语应用能力A级证书或口语证书的学生，可以用证书置换高职英语课程2个学期学分，成绩认定为85分（A级或口语）、90分（四级）或95分（六级），也可申请课程免修。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（3）计算机能力要求</w:t>
      </w:r>
    </w:p>
    <w:p>
      <w:pPr>
        <w:pStyle w:val="3"/>
        <w:snapToGrid/>
        <w:spacing w:beforeLines="0" w:afterLines="0" w:line="360" w:lineRule="auto"/>
        <w:rPr>
          <w:rFonts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对考取全国计算机ATA证书或江苏省计算机等级考试一级证书的学生，可申请信息技术类课程免修，直接置换对应学分。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（4）职业资格证书要求</w:t>
      </w:r>
    </w:p>
    <w:p>
      <w:pPr>
        <w:pStyle w:val="3"/>
        <w:snapToGrid/>
        <w:spacing w:beforeLines="0" w:afterLines="0" w:line="360" w:lineRule="auto"/>
        <w:rPr>
          <w:rFonts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对考取电子商务数据分析职业技能证书（中级）的学生，可申请置换《电子商务数据分析》课程学分，成绩直接认定为85分（不能申请免听）。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（5）思想品德考核要求</w:t>
      </w:r>
    </w:p>
    <w:p>
      <w:pPr>
        <w:pStyle w:val="3"/>
        <w:snapToGrid/>
        <w:spacing w:beforeLines="0" w:afterLines="0" w:line="360" w:lineRule="auto"/>
        <w:rPr>
          <w:rFonts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学生毕业前思想品德考核必须为合格以上，由学生工作处负责考核、鉴定。</w:t>
      </w:r>
    </w:p>
    <w:p>
      <w:pPr>
        <w:pStyle w:val="3"/>
        <w:snapToGrid/>
        <w:spacing w:beforeLines="0" w:afterLines="0" w:line="360" w:lineRule="auto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（6）体质健康测试要求</w:t>
      </w:r>
    </w:p>
    <w:p>
      <w:pPr>
        <w:pStyle w:val="3"/>
        <w:snapToGrid/>
        <w:spacing w:beforeLines="0" w:afterLines="0" w:line="360" w:lineRule="auto"/>
        <w:rPr>
          <w:rFonts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学生体制健康测试严格执行“国家学生体质健康标准”，毕业前体质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>
      <w:pPr>
        <w:spacing w:line="360" w:lineRule="auto"/>
        <w:ind w:firstLine="555"/>
        <w:rPr>
          <w:rFonts w:ascii="Times New Roman" w:hAnsi="黑体" w:eastAsia="黑体"/>
          <w:sz w:val="28"/>
          <w:szCs w:val="28"/>
        </w:rPr>
      </w:pPr>
    </w:p>
    <w:p>
      <w:pPr>
        <w:pStyle w:val="2"/>
        <w:snapToGrid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6" w:name="_Toc396497528"/>
      <w:bookmarkStart w:id="7" w:name="_Toc393236439"/>
      <w:bookmarkStart w:id="8" w:name="_Toc396497636"/>
      <w:bookmarkStart w:id="9" w:name="_Toc396497326"/>
      <w:bookmarkStart w:id="10" w:name="_Toc396501702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napToGrid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djustRightIn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>
      <w:pPr>
        <w:pStyle w:val="2"/>
        <w:snapToGrid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>
      <w:pPr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（1）在校学习期间，所有科目无不合格。</w:t>
      </w:r>
    </w:p>
    <w:p>
      <w:pPr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（2）在校学习期间，无处分记录。</w:t>
      </w:r>
    </w:p>
    <w:p>
      <w:pPr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（3）当申请学生数大于可录取数时，以当前学期平均学分绩点排名为序，择优录取。</w:t>
      </w:r>
      <w:bookmarkEnd w:id="6"/>
      <w:bookmarkEnd w:id="7"/>
      <w:bookmarkEnd w:id="8"/>
      <w:bookmarkEnd w:id="9"/>
      <w:bookmarkEnd w:id="1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kNmFjOTAyMjU3ZWRkZWUzYWVkNjdlN2IwZTBhMTUifQ=="/>
  </w:docVars>
  <w:rsids>
    <w:rsidRoot w:val="00816F75"/>
    <w:rsid w:val="000038C7"/>
    <w:rsid w:val="00007931"/>
    <w:rsid w:val="00012F4B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C3B2D"/>
    <w:rsid w:val="000D434A"/>
    <w:rsid w:val="000D6896"/>
    <w:rsid w:val="000E7029"/>
    <w:rsid w:val="000F21AB"/>
    <w:rsid w:val="000F4F92"/>
    <w:rsid w:val="000F75CD"/>
    <w:rsid w:val="00112D75"/>
    <w:rsid w:val="00113E0D"/>
    <w:rsid w:val="00114BF6"/>
    <w:rsid w:val="00120749"/>
    <w:rsid w:val="0012179F"/>
    <w:rsid w:val="001219A1"/>
    <w:rsid w:val="00143F35"/>
    <w:rsid w:val="00160373"/>
    <w:rsid w:val="00160624"/>
    <w:rsid w:val="00163CAB"/>
    <w:rsid w:val="00163D54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0F48"/>
    <w:rsid w:val="001E1361"/>
    <w:rsid w:val="001E138C"/>
    <w:rsid w:val="001E7CB9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360DF"/>
    <w:rsid w:val="00342689"/>
    <w:rsid w:val="003478C3"/>
    <w:rsid w:val="0035181D"/>
    <w:rsid w:val="00357C70"/>
    <w:rsid w:val="00363298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CA1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2B5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120"/>
    <w:rsid w:val="008F3A55"/>
    <w:rsid w:val="008F65C4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76FA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67BD"/>
    <w:rsid w:val="00BA79E7"/>
    <w:rsid w:val="00BB1386"/>
    <w:rsid w:val="00BC1535"/>
    <w:rsid w:val="00BD12B2"/>
    <w:rsid w:val="00BD3AFB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0BC4"/>
    <w:rsid w:val="00C25D8C"/>
    <w:rsid w:val="00C25EC9"/>
    <w:rsid w:val="00C35E45"/>
    <w:rsid w:val="00C375E1"/>
    <w:rsid w:val="00C4153A"/>
    <w:rsid w:val="00C416AB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4B55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2FAD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36754"/>
    <w:rsid w:val="00D55D97"/>
    <w:rsid w:val="00D56184"/>
    <w:rsid w:val="00D578FE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20076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667AD"/>
    <w:rsid w:val="00E7059A"/>
    <w:rsid w:val="00E7638B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6D8E"/>
    <w:rsid w:val="00EC7D69"/>
    <w:rsid w:val="00ED0974"/>
    <w:rsid w:val="00ED30E5"/>
    <w:rsid w:val="00ED4ABE"/>
    <w:rsid w:val="00ED54DF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8B1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2DDF"/>
    <w:rsid w:val="00F44389"/>
    <w:rsid w:val="00F4694F"/>
    <w:rsid w:val="00F60087"/>
    <w:rsid w:val="00F62792"/>
    <w:rsid w:val="00F7423C"/>
    <w:rsid w:val="00F755C4"/>
    <w:rsid w:val="00F83875"/>
    <w:rsid w:val="00F86BCB"/>
    <w:rsid w:val="00F90511"/>
    <w:rsid w:val="00F9645B"/>
    <w:rsid w:val="00F97B2C"/>
    <w:rsid w:val="00FA3B67"/>
    <w:rsid w:val="00FA540C"/>
    <w:rsid w:val="00FB1C65"/>
    <w:rsid w:val="00FB62A6"/>
    <w:rsid w:val="00FC3BE4"/>
    <w:rsid w:val="00FC7064"/>
    <w:rsid w:val="00FD4FA5"/>
    <w:rsid w:val="00FD6043"/>
    <w:rsid w:val="00FE2E5F"/>
    <w:rsid w:val="00FE3F1A"/>
    <w:rsid w:val="00FF13E9"/>
    <w:rsid w:val="00FF21B3"/>
    <w:rsid w:val="00FF477E"/>
    <w:rsid w:val="00FF4A2F"/>
    <w:rsid w:val="1BA509E5"/>
    <w:rsid w:val="1DAB71DA"/>
    <w:rsid w:val="22E56FB7"/>
    <w:rsid w:val="3249275F"/>
    <w:rsid w:val="39E22AE7"/>
    <w:rsid w:val="48340C07"/>
    <w:rsid w:val="5A945EAD"/>
    <w:rsid w:val="62505BB1"/>
    <w:rsid w:val="62CE53E0"/>
    <w:rsid w:val="63B45DF5"/>
    <w:rsid w:val="78307960"/>
    <w:rsid w:val="7BB8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autoRedefine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autoRedefine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autoRedefine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autoRedefine/>
    <w:qFormat/>
    <w:locked/>
    <w:uiPriority w:val="20"/>
    <w:rPr>
      <w:i/>
      <w:iCs/>
    </w:rPr>
  </w:style>
  <w:style w:type="character" w:styleId="17">
    <w:name w:val="Hyperlink"/>
    <w:basedOn w:val="14"/>
    <w:autoRedefine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autoRedefine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autoRedefine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autoRedefine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F49F4-92B6-4547-B50B-2FA5AB1D52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215</Words>
  <Characters>1227</Characters>
  <Lines>10</Lines>
  <Paragraphs>2</Paragraphs>
  <TotalTime>63</TotalTime>
  <ScaleCrop>false</ScaleCrop>
  <LinksUpToDate>false</LinksUpToDate>
  <CharactersWithSpaces>1440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拾光可乐</cp:lastModifiedBy>
  <cp:lastPrinted>2019-12-17T07:39:00Z</cp:lastPrinted>
  <dcterms:modified xsi:type="dcterms:W3CDTF">2024-06-11T00:59:12Z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D50558E864DF4F8C8BE493A2520AA5C1</vt:lpwstr>
  </property>
</Properties>
</file>